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1CE4B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85F3772">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7DEE42F">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t>27.010</w:t>
            </w:r>
          </w:p>
        </w:tc>
      </w:tr>
      <w:tr w14:paraId="754D8F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E03F5C5">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48F83672">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0"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F 01</w:t>
            </w:r>
            <w:r>
              <w:rPr>
                <w:rFonts w:ascii="黑体" w:hAnsi="黑体" w:eastAsia="黑体"/>
                <w:sz w:val="21"/>
                <w:szCs w:val="21"/>
              </w:rPr>
              <w:fldChar w:fldCharType="end"/>
            </w:r>
            <w:bookmarkEnd w:id="0"/>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6D20EC2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14:paraId="3B9563C2">
            <w:pPr>
              <w:pStyle w:val="52"/>
              <w:framePr w:w="0" w:hRule="auto" w:wrap="auto" w:vAnchor="margin" w:hAnchor="text" w:xAlign="left" w:yAlign="inline"/>
              <w:rPr>
                <w:rFonts w:hint="eastAsia" w:ascii="宋体" w:hAnsi="宋体"/>
                <w:sz w:val="28"/>
                <w:szCs w:val="28"/>
              </w:rPr>
            </w:pPr>
            <w:bookmarkStart w:id="1"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2" w:name="c1"/>
            <w:r>
              <w:instrText xml:space="preserve"> FORMTEXT </w:instrText>
            </w:r>
            <w:r>
              <w:fldChar w:fldCharType="separate"/>
            </w:r>
            <w:r>
              <w:t>32</w:t>
            </w:r>
            <w:r>
              <w:fldChar w:fldCharType="end"/>
            </w:r>
            <w:bookmarkEnd w:id="2"/>
          </w:p>
        </w:tc>
      </w:tr>
    </w:tbl>
    <w:p w14:paraId="23109CD7">
      <w:pPr>
        <w:pStyle w:val="53"/>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3"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3"/>
      <w:r>
        <w:rPr>
          <w:rFonts w:hint="eastAsia" w:ascii="黑体" w:hAnsi="黑体" w:eastAsia="黑体"/>
          <w:b w:val="0"/>
          <w:bCs w:val="0"/>
          <w:w w:val="100"/>
          <w:sz w:val="48"/>
          <w:szCs w:val="48"/>
        </w:rPr>
        <w:t>地方标准</w:t>
      </w:r>
    </w:p>
    <w:bookmarkEnd w:id="1"/>
    <w:p w14:paraId="4F5DA392">
      <w:pPr>
        <w:pStyle w:val="198"/>
        <w:framePr w:wrap="around"/>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4" w:name="文字1"/>
      <w:r>
        <w:rPr>
          <w:lang w:val="fr-FR"/>
        </w:rPr>
        <w:instrText xml:space="preserve"> FORMTEXT </w:instrText>
      </w:r>
      <w:r>
        <w:fldChar w:fldCharType="separate"/>
      </w:r>
      <w:r>
        <w:t>32</w:t>
      </w:r>
      <w:r>
        <w:rPr>
          <w:rFonts w:hint="eastAsia"/>
        </w:rPr>
        <w:t>/T</w:t>
      </w:r>
      <w:r>
        <w:fldChar w:fldCharType="end"/>
      </w:r>
      <w:bookmarkEnd w:id="4"/>
      <w:r>
        <w:rPr>
          <w:lang w:val="fr-FR"/>
        </w:rP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t>2060</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lang w:val="fr-FR"/>
        </w:rPr>
        <w:t>XXXX</w:t>
      </w:r>
      <w:r>
        <w:fldChar w:fldCharType="end"/>
      </w:r>
      <w:bookmarkEnd w:id="6"/>
    </w:p>
    <w:p w14:paraId="5658EC1C">
      <w:pPr>
        <w:pStyle w:val="199"/>
        <w:framePr w:wrap="around"/>
        <w:rPr>
          <w:rFonts w:hint="eastAsia"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代替 DB32 2060-2018</w:t>
      </w:r>
      <w:r>
        <w:rPr>
          <w:rFonts w:hAnsi="黑体"/>
        </w:rPr>
        <w:fldChar w:fldCharType="end"/>
      </w:r>
      <w:bookmarkEnd w:id="7"/>
    </w:p>
    <w:p w14:paraId="2C66C05F">
      <w:pPr>
        <w:spacing w:line="240" w:lineRule="auto"/>
        <w:rPr>
          <w:rFonts w:hint="eastAsia" w:ascii="黑体" w:hAnsi="黑体" w:eastAsia="黑体"/>
          <w:kern w:val="0"/>
          <w:sz w:val="10"/>
          <w:szCs w:val="10"/>
        </w:rPr>
      </w:pPr>
      <w:r>
        <w:rPr>
          <w:rFonts w:hint="eastAsia" w:ascii="黑体" w:hAnsi="黑体" w:eastAsia="黑体"/>
          <w:kern w:val="0"/>
          <w:sz w:val="10"/>
          <w:szCs w:val="10"/>
        </w:rPr>
        <w:pict>
          <v:line id="_x0000_s1026" o:spid="_x0000_s1026" o:spt="20" style="position:absolute;left:0pt;margin-left:70.9pt;margin-top:212.65pt;height:0pt;width:481.9pt;mso-position-horizontal-relative:page;mso-position-vertical-relative:page;z-index:251659264;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path arrowok="t"/>
            <v:fill focussize="0,0"/>
            <v:stroke/>
            <v:imagedata o:title=""/>
            <o:lock v:ext="edit"/>
          </v:line>
        </w:pict>
      </w:r>
    </w:p>
    <w:p w14:paraId="7CEEB9F3">
      <w:pPr>
        <w:pStyle w:val="53"/>
        <w:framePr w:w="9639" w:h="6976" w:hRule="exact" w:hSpace="0" w:vSpace="0" w:wrap="around" w:hAnchor="page" w:y="6408"/>
        <w:jc w:val="center"/>
        <w:rPr>
          <w:rFonts w:hint="eastAsia" w:ascii="黑体" w:hAnsi="黑体" w:eastAsia="黑体"/>
          <w:b w:val="0"/>
          <w:bCs w:val="0"/>
          <w:w w:val="100"/>
        </w:rPr>
      </w:pPr>
    </w:p>
    <w:p w14:paraId="6D609D61">
      <w:pPr>
        <w:pStyle w:val="200"/>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单位能耗限额</w:t>
      </w:r>
      <w:r>
        <w:fldChar w:fldCharType="end"/>
      </w:r>
      <w:bookmarkEnd w:id="8"/>
    </w:p>
    <w:p w14:paraId="2E82870E">
      <w:pPr>
        <w:framePr w:w="9639" w:h="6974" w:hRule="exact" w:wrap="around" w:vAnchor="page" w:hAnchor="page" w:x="1419" w:y="6408" w:anchorLock="1"/>
        <w:ind w:left="-1418"/>
      </w:pPr>
    </w:p>
    <w:p w14:paraId="6083DE74">
      <w:pPr>
        <w:pStyle w:val="12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eastAsia="黑体"/>
          <w:szCs w:val="28"/>
        </w:rPr>
        <w:t>Norm of comprehensive energy consumption per unit product</w:t>
      </w:r>
      <w:r>
        <w:rPr>
          <w:rFonts w:eastAsia="黑体"/>
          <w:szCs w:val="28"/>
        </w:rPr>
        <w:fldChar w:fldCharType="end"/>
      </w:r>
      <w:bookmarkEnd w:id="9"/>
    </w:p>
    <w:p w14:paraId="3DF9F516">
      <w:pPr>
        <w:framePr w:w="9639" w:h="6974" w:hRule="exact" w:wrap="around" w:vAnchor="page" w:hAnchor="page" w:x="1419" w:y="6408" w:anchorLock="1"/>
        <w:spacing w:line="760" w:lineRule="exact"/>
        <w:ind w:left="-1418"/>
      </w:pPr>
    </w:p>
    <w:p w14:paraId="393C2AE1">
      <w:pPr>
        <w:pStyle w:val="128"/>
        <w:framePr w:w="9639" w:h="6974" w:hRule="exact" w:wrap="around" w:vAnchor="page" w:hAnchor="page" w:x="1419" w:y="6408" w:anchorLock="1"/>
        <w:textAlignment w:val="bottom"/>
        <w:rPr>
          <w:rFonts w:eastAsia="黑体"/>
          <w:szCs w:val="28"/>
        </w:rPr>
      </w:pPr>
    </w:p>
    <w:p w14:paraId="5445C411">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137FA136">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225850B6">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311D2385">
      <w:pPr>
        <w:pStyle w:val="196"/>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45E87125">
      <w:pPr>
        <w:pStyle w:val="197"/>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01496B64">
      <w:pPr>
        <w:pStyle w:val="154"/>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19"/>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7CC0B764">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w:pict>
          <v:line id="_x0000_s2050" o:spid="_x0000_s2050" o:spt="20" style="position:absolute;left:0pt;margin-left:70.85pt;margin-top:728.6pt;height:0pt;width:481.9pt;mso-position-horizontal-relative:page;mso-position-vertical-relative:page;z-index:251660288;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path arrowok="t"/>
            <v:fill focussize="0,0"/>
            <v:stroke/>
            <v:imagedata o:title=""/>
            <o:lock v:ext="edit"/>
            <w10:anchorlock/>
          </v:line>
        </w:pict>
      </w:r>
    </w:p>
    <w:p w14:paraId="1C486178">
      <w:pPr>
        <w:pStyle w:val="94"/>
        <w:spacing w:after="468"/>
      </w:pPr>
      <w:bookmarkStart w:id="20" w:name="BookMark1"/>
      <w:bookmarkStart w:id="21" w:name="_Toc175504947"/>
      <w:bookmarkStart w:id="22" w:name="_Toc982"/>
      <w:bookmarkStart w:id="23" w:name="_Toc22345"/>
      <w:bookmarkStart w:id="24" w:name="_Toc6686"/>
      <w:r>
        <w:rPr>
          <w:rFonts w:hint="eastAsia"/>
          <w:spacing w:val="320"/>
        </w:rPr>
        <w:t>目</w:t>
      </w:r>
      <w:r>
        <w:rPr>
          <w:rFonts w:hint="eastAsia"/>
        </w:rPr>
        <w:t>次</w:t>
      </w:r>
    </w:p>
    <w:p w14:paraId="1FCFEFF8">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"_Toc175690933" </w:instrText>
      </w:r>
      <w:r>
        <w:fldChar w:fldCharType="separate"/>
      </w:r>
      <w:r>
        <w:rPr>
          <w:rStyle w:val="34"/>
          <w:rFonts w:hint="eastAsia"/>
        </w:rPr>
        <w:t>前言</w:t>
      </w:r>
      <w:r>
        <w:rPr>
          <w:rFonts w:hint="eastAsia"/>
        </w:rPr>
        <w:tab/>
      </w:r>
      <w:r>
        <w:rPr>
          <w:rFonts w:hint="eastAsia"/>
        </w:rPr>
        <w:fldChar w:fldCharType="begin"/>
      </w:r>
      <w:r>
        <w:rPr>
          <w:rFonts w:hint="eastAsia"/>
        </w:rPr>
        <w:instrText xml:space="preserve"> </w:instrText>
      </w:r>
      <w:r>
        <w:instrText xml:space="preserve">PAGEREF _Toc175690933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0735B97D">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"_Toc175690934" </w:instrText>
      </w:r>
      <w:r>
        <w:fldChar w:fldCharType="separate"/>
      </w:r>
      <w:r>
        <w:rPr>
          <w:rStyle w:val="34"/>
          <w:rFonts w:hint="eastAsia"/>
        </w:rPr>
        <w:t>1</w:t>
      </w:r>
      <w:r>
        <w:rPr>
          <w:rStyle w:val="34"/>
        </w:rPr>
        <w:t xml:space="preserve"> </w:t>
      </w:r>
      <w:r>
        <w:rPr>
          <w:rStyle w:val="34"/>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_Toc175690934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319B352">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"_Toc175690935" </w:instrText>
      </w:r>
      <w:r>
        <w:fldChar w:fldCharType="separate"/>
      </w:r>
      <w:r>
        <w:rPr>
          <w:rStyle w:val="34"/>
          <w:rFonts w:hint="eastAsia"/>
        </w:rPr>
        <w:t>2</w:t>
      </w:r>
      <w:r>
        <w:rPr>
          <w:rStyle w:val="34"/>
        </w:rPr>
        <w:t xml:space="preserve"> </w:t>
      </w:r>
      <w:r>
        <w:rPr>
          <w:rStyle w:val="34"/>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_Toc175690935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C01327E">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"_Toc175690936" </w:instrText>
      </w:r>
      <w:r>
        <w:fldChar w:fldCharType="separate"/>
      </w:r>
      <w:r>
        <w:rPr>
          <w:rStyle w:val="34"/>
          <w:rFonts w:hint="eastAsia"/>
        </w:rPr>
        <w:t>3</w:t>
      </w:r>
      <w:r>
        <w:rPr>
          <w:rStyle w:val="34"/>
        </w:rPr>
        <w:t xml:space="preserve"> </w:t>
      </w:r>
      <w:r>
        <w:rPr>
          <w:rStyle w:val="34"/>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_Toc175690936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4FB0694">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"_Toc175690937" </w:instrText>
      </w:r>
      <w:r>
        <w:fldChar w:fldCharType="separate"/>
      </w:r>
      <w:r>
        <w:rPr>
          <w:rStyle w:val="34"/>
          <w:rFonts w:hint="eastAsia"/>
        </w:rPr>
        <w:t>4</w:t>
      </w:r>
      <w:r>
        <w:rPr>
          <w:rStyle w:val="34"/>
        </w:rPr>
        <w:t xml:space="preserve"> </w:t>
      </w:r>
      <w:r>
        <w:rPr>
          <w:rStyle w:val="34"/>
          <w:rFonts w:hint="eastAsia"/>
        </w:rPr>
        <w:t xml:space="preserve"> 能耗指标</w:t>
      </w:r>
      <w:r>
        <w:rPr>
          <w:rFonts w:hint="eastAsia"/>
        </w:rPr>
        <w:tab/>
      </w:r>
      <w:r>
        <w:rPr>
          <w:rFonts w:hint="eastAsia"/>
        </w:rPr>
        <w:fldChar w:fldCharType="begin"/>
      </w:r>
      <w:r>
        <w:rPr>
          <w:rFonts w:hint="eastAsia"/>
        </w:rPr>
        <w:instrText xml:space="preserve"> </w:instrText>
      </w:r>
      <w:r>
        <w:instrText xml:space="preserve">PAGEREF _Toc175690937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3D3850E1">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"_Toc175690938" </w:instrText>
      </w:r>
      <w:r>
        <w:fldChar w:fldCharType="separate"/>
      </w:r>
      <w:r>
        <w:rPr>
          <w:rStyle w:val="34"/>
          <w:rFonts w:hint="eastAsia"/>
        </w:rPr>
        <w:t>4.1</w:t>
      </w:r>
      <w:r>
        <w:rPr>
          <w:rStyle w:val="34"/>
        </w:rPr>
        <w:t xml:space="preserve"> </w:t>
      </w:r>
      <w:r>
        <w:rPr>
          <w:rStyle w:val="34"/>
          <w:rFonts w:hint="eastAsia"/>
        </w:rPr>
        <w:t xml:space="preserve"> 大豆油</w:t>
      </w:r>
      <w:r>
        <w:rPr>
          <w:rFonts w:hint="eastAsia"/>
        </w:rPr>
        <w:tab/>
      </w:r>
      <w:r>
        <w:rPr>
          <w:rFonts w:hint="eastAsia"/>
        </w:rPr>
        <w:fldChar w:fldCharType="begin"/>
      </w:r>
      <w:r>
        <w:rPr>
          <w:rFonts w:hint="eastAsia"/>
        </w:rPr>
        <w:instrText xml:space="preserve"> </w:instrText>
      </w:r>
      <w:r>
        <w:instrText xml:space="preserve">PAGEREF _Toc175690938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34839DE8">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"_Toc175690939" </w:instrText>
      </w:r>
      <w:r>
        <w:fldChar w:fldCharType="separate"/>
      </w:r>
      <w:r>
        <w:rPr>
          <w:rStyle w:val="34"/>
          <w:rFonts w:hint="eastAsia"/>
        </w:rPr>
        <w:t>4.2</w:t>
      </w:r>
      <w:r>
        <w:rPr>
          <w:rStyle w:val="34"/>
        </w:rPr>
        <w:t xml:space="preserve"> </w:t>
      </w:r>
      <w:r>
        <w:rPr>
          <w:rStyle w:val="34"/>
          <w:rFonts w:hint="eastAsia"/>
        </w:rPr>
        <w:t xml:space="preserve"> 液态乳</w:t>
      </w:r>
      <w:r>
        <w:rPr>
          <w:rFonts w:hint="eastAsia"/>
        </w:rPr>
        <w:tab/>
      </w:r>
      <w:r>
        <w:rPr>
          <w:rFonts w:hint="eastAsia"/>
        </w:rPr>
        <w:fldChar w:fldCharType="begin"/>
      </w:r>
      <w:r>
        <w:rPr>
          <w:rFonts w:hint="eastAsia"/>
        </w:rPr>
        <w:instrText xml:space="preserve"> </w:instrText>
      </w:r>
      <w:r>
        <w:instrText xml:space="preserve">PAGEREF _Toc175690939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384DA2C6">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"_Toc175690940" </w:instrText>
      </w:r>
      <w:r>
        <w:fldChar w:fldCharType="separate"/>
      </w:r>
      <w:r>
        <w:rPr>
          <w:rStyle w:val="34"/>
          <w:rFonts w:hint="eastAsia"/>
        </w:rPr>
        <w:t>4.3</w:t>
      </w:r>
      <w:r>
        <w:rPr>
          <w:rStyle w:val="34"/>
        </w:rPr>
        <w:t xml:space="preserve"> </w:t>
      </w:r>
      <w:r>
        <w:rPr>
          <w:rStyle w:val="34"/>
          <w:rFonts w:hint="eastAsia"/>
        </w:rPr>
        <w:t xml:space="preserve"> 白酒</w:t>
      </w:r>
      <w:r>
        <w:rPr>
          <w:rFonts w:hint="eastAsia"/>
        </w:rPr>
        <w:tab/>
      </w:r>
      <w:r>
        <w:rPr>
          <w:rFonts w:hint="eastAsia"/>
        </w:rPr>
        <w:fldChar w:fldCharType="begin"/>
      </w:r>
      <w:r>
        <w:rPr>
          <w:rFonts w:hint="eastAsia"/>
        </w:rPr>
        <w:instrText xml:space="preserve"> </w:instrText>
      </w:r>
      <w:r>
        <w:instrText xml:space="preserve">PAGEREF _Toc175690940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156A6970">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"_Toc175690941" </w:instrText>
      </w:r>
      <w:r>
        <w:fldChar w:fldCharType="separate"/>
      </w:r>
      <w:r>
        <w:rPr>
          <w:rStyle w:val="34"/>
          <w:rFonts w:hint="eastAsia"/>
        </w:rPr>
        <w:t>4.4</w:t>
      </w:r>
      <w:r>
        <w:rPr>
          <w:rStyle w:val="34"/>
        </w:rPr>
        <w:t xml:space="preserve"> </w:t>
      </w:r>
      <w:r>
        <w:rPr>
          <w:rStyle w:val="34"/>
          <w:rFonts w:hint="eastAsia"/>
        </w:rPr>
        <w:t xml:space="preserve"> 啤酒</w:t>
      </w:r>
      <w:r>
        <w:rPr>
          <w:rFonts w:hint="eastAsia"/>
        </w:rPr>
        <w:tab/>
      </w:r>
      <w:r>
        <w:rPr>
          <w:rFonts w:hint="eastAsia"/>
        </w:rPr>
        <w:fldChar w:fldCharType="begin"/>
      </w:r>
      <w:r>
        <w:rPr>
          <w:rFonts w:hint="eastAsia"/>
        </w:rPr>
        <w:instrText xml:space="preserve"> </w:instrText>
      </w:r>
      <w:r>
        <w:instrText xml:space="preserve">PAGEREF _Toc175690941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2E5BA98E">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"_Toc175690942" </w:instrText>
      </w:r>
      <w:r>
        <w:fldChar w:fldCharType="separate"/>
      </w:r>
      <w:r>
        <w:rPr>
          <w:rStyle w:val="34"/>
          <w:rFonts w:hint="eastAsia"/>
        </w:rPr>
        <w:t>4.5</w:t>
      </w:r>
      <w:r>
        <w:rPr>
          <w:rStyle w:val="34"/>
        </w:rPr>
        <w:t xml:space="preserve"> </w:t>
      </w:r>
      <w:r>
        <w:rPr>
          <w:rStyle w:val="34"/>
          <w:rFonts w:hint="eastAsia"/>
        </w:rPr>
        <w:t xml:space="preserve"> 卷烟</w:t>
      </w:r>
      <w:r>
        <w:rPr>
          <w:rFonts w:hint="eastAsia"/>
        </w:rPr>
        <w:tab/>
      </w:r>
      <w:r>
        <w:rPr>
          <w:rFonts w:hint="eastAsia"/>
        </w:rPr>
        <w:fldChar w:fldCharType="begin"/>
      </w:r>
      <w:r>
        <w:rPr>
          <w:rFonts w:hint="eastAsia"/>
        </w:rPr>
        <w:instrText xml:space="preserve"> </w:instrText>
      </w:r>
      <w:r>
        <w:instrText xml:space="preserve">PAGEREF _Toc175690942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0D848B73">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"_Toc175690943" </w:instrText>
      </w:r>
      <w:r>
        <w:fldChar w:fldCharType="separate"/>
      </w:r>
      <w:r>
        <w:rPr>
          <w:rStyle w:val="34"/>
          <w:rFonts w:hint="eastAsia"/>
        </w:rPr>
        <w:t>4.6</w:t>
      </w:r>
      <w:r>
        <w:rPr>
          <w:rStyle w:val="34"/>
        </w:rPr>
        <w:t xml:space="preserve"> </w:t>
      </w:r>
      <w:r>
        <w:rPr>
          <w:rStyle w:val="34"/>
          <w:rFonts w:hint="eastAsia"/>
        </w:rPr>
        <w:t xml:space="preserve"> 印染布</w:t>
      </w:r>
      <w:r>
        <w:rPr>
          <w:rFonts w:hint="eastAsia"/>
        </w:rPr>
        <w:tab/>
      </w:r>
      <w:r>
        <w:rPr>
          <w:rFonts w:hint="eastAsia"/>
        </w:rPr>
        <w:fldChar w:fldCharType="begin"/>
      </w:r>
      <w:r>
        <w:rPr>
          <w:rFonts w:hint="eastAsia"/>
        </w:rPr>
        <w:instrText xml:space="preserve"> </w:instrText>
      </w:r>
      <w:r>
        <w:instrText xml:space="preserve">PAGEREF _Toc175690943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30E66C9B">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"_Toc175690944" </w:instrText>
      </w:r>
      <w:r>
        <w:fldChar w:fldCharType="separate"/>
      </w:r>
      <w:r>
        <w:rPr>
          <w:rStyle w:val="34"/>
          <w:rFonts w:hint="eastAsia"/>
        </w:rPr>
        <w:t>4.7</w:t>
      </w:r>
      <w:r>
        <w:rPr>
          <w:rStyle w:val="34"/>
        </w:rPr>
        <w:t xml:space="preserve"> </w:t>
      </w:r>
      <w:r>
        <w:rPr>
          <w:rStyle w:val="34"/>
          <w:rFonts w:hint="eastAsia"/>
        </w:rPr>
        <w:t xml:space="preserve"> 棉纱</w:t>
      </w:r>
      <w:r>
        <w:rPr>
          <w:rFonts w:hint="eastAsia"/>
        </w:rPr>
        <w:tab/>
      </w:r>
      <w:r>
        <w:rPr>
          <w:rFonts w:hint="eastAsia"/>
        </w:rPr>
        <w:fldChar w:fldCharType="begin"/>
      </w:r>
      <w:r>
        <w:rPr>
          <w:rFonts w:hint="eastAsia"/>
        </w:rPr>
        <w:instrText xml:space="preserve"> </w:instrText>
      </w:r>
      <w:r>
        <w:instrText xml:space="preserve">PAGEREF _Toc175690944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12E14822">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"_Toc175690945" </w:instrText>
      </w:r>
      <w:r>
        <w:fldChar w:fldCharType="separate"/>
      </w:r>
      <w:r>
        <w:rPr>
          <w:rStyle w:val="34"/>
          <w:rFonts w:hint="eastAsia"/>
        </w:rPr>
        <w:t>4.8</w:t>
      </w:r>
      <w:r>
        <w:rPr>
          <w:rStyle w:val="34"/>
        </w:rPr>
        <w:t xml:space="preserve"> </w:t>
      </w:r>
      <w:r>
        <w:rPr>
          <w:rStyle w:val="34"/>
          <w:rFonts w:hint="eastAsia"/>
        </w:rPr>
        <w:t xml:space="preserve"> 棉布</w:t>
      </w:r>
      <w:r>
        <w:rPr>
          <w:rFonts w:hint="eastAsia"/>
        </w:rPr>
        <w:tab/>
      </w:r>
      <w:r>
        <w:rPr>
          <w:rFonts w:hint="eastAsia"/>
        </w:rPr>
        <w:fldChar w:fldCharType="begin"/>
      </w:r>
      <w:r>
        <w:rPr>
          <w:rFonts w:hint="eastAsia"/>
        </w:rPr>
        <w:instrText xml:space="preserve"> </w:instrText>
      </w:r>
      <w:r>
        <w:instrText xml:space="preserve">PAGEREF _Toc175690945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67990150">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"_Toc175690946" </w:instrText>
      </w:r>
      <w:r>
        <w:fldChar w:fldCharType="separate"/>
      </w:r>
      <w:r>
        <w:rPr>
          <w:rStyle w:val="34"/>
          <w:rFonts w:hint="eastAsia"/>
        </w:rPr>
        <w:t>4.9</w:t>
      </w:r>
      <w:r>
        <w:rPr>
          <w:rStyle w:val="34"/>
        </w:rPr>
        <w:t xml:space="preserve"> </w:t>
      </w:r>
      <w:r>
        <w:rPr>
          <w:rStyle w:val="34"/>
          <w:rFonts w:hint="eastAsia"/>
        </w:rPr>
        <w:t xml:space="preserve"> 纤维板</w:t>
      </w:r>
      <w:r>
        <w:rPr>
          <w:rFonts w:hint="eastAsia"/>
        </w:rPr>
        <w:tab/>
      </w:r>
      <w:r>
        <w:rPr>
          <w:rFonts w:hint="eastAsia"/>
        </w:rPr>
        <w:fldChar w:fldCharType="begin"/>
      </w:r>
      <w:r>
        <w:rPr>
          <w:rFonts w:hint="eastAsia"/>
        </w:rPr>
        <w:instrText xml:space="preserve"> </w:instrText>
      </w:r>
      <w:r>
        <w:instrText xml:space="preserve">PAGEREF _Toc175690946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73D44668">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"_Toc175690947" </w:instrText>
      </w:r>
      <w:r>
        <w:fldChar w:fldCharType="separate"/>
      </w:r>
      <w:r>
        <w:rPr>
          <w:rStyle w:val="34"/>
          <w:rFonts w:hint="eastAsia"/>
        </w:rPr>
        <w:t>4.10</w:t>
      </w:r>
      <w:r>
        <w:rPr>
          <w:rStyle w:val="34"/>
        </w:rPr>
        <w:t xml:space="preserve"> </w:t>
      </w:r>
      <w:r>
        <w:rPr>
          <w:rStyle w:val="34"/>
          <w:rFonts w:hint="eastAsia"/>
        </w:rPr>
        <w:t xml:space="preserve"> 纸浆</w:t>
      </w:r>
      <w:r>
        <w:rPr>
          <w:rFonts w:hint="eastAsia"/>
        </w:rPr>
        <w:tab/>
      </w:r>
      <w:r>
        <w:rPr>
          <w:rFonts w:hint="eastAsia"/>
        </w:rPr>
        <w:fldChar w:fldCharType="begin"/>
      </w:r>
      <w:r>
        <w:rPr>
          <w:rFonts w:hint="eastAsia"/>
        </w:rPr>
        <w:instrText xml:space="preserve"> </w:instrText>
      </w:r>
      <w:r>
        <w:instrText xml:space="preserve">PAGEREF _Toc175690947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319DF6A6">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"_Toc175690948" </w:instrText>
      </w:r>
      <w:r>
        <w:fldChar w:fldCharType="separate"/>
      </w:r>
      <w:r>
        <w:rPr>
          <w:rStyle w:val="34"/>
          <w:rFonts w:hint="eastAsia"/>
        </w:rPr>
        <w:t>4.11</w:t>
      </w:r>
      <w:r>
        <w:rPr>
          <w:rStyle w:val="34"/>
        </w:rPr>
        <w:t xml:space="preserve"> </w:t>
      </w:r>
      <w:r>
        <w:rPr>
          <w:rStyle w:val="34"/>
          <w:rFonts w:hint="eastAsia"/>
        </w:rPr>
        <w:t xml:space="preserve"> 书写印刷用纸</w:t>
      </w:r>
      <w:r>
        <w:rPr>
          <w:rFonts w:hint="eastAsia"/>
        </w:rPr>
        <w:tab/>
      </w:r>
      <w:r>
        <w:rPr>
          <w:rFonts w:hint="eastAsia"/>
        </w:rPr>
        <w:fldChar w:fldCharType="begin"/>
      </w:r>
      <w:r>
        <w:rPr>
          <w:rFonts w:hint="eastAsia"/>
        </w:rPr>
        <w:instrText xml:space="preserve"> </w:instrText>
      </w:r>
      <w:r>
        <w:instrText xml:space="preserve">PAGEREF _Toc175690948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140C0351">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"_Toc175690949" </w:instrText>
      </w:r>
      <w:r>
        <w:fldChar w:fldCharType="separate"/>
      </w:r>
      <w:r>
        <w:rPr>
          <w:rStyle w:val="34"/>
          <w:rFonts w:hint="eastAsia"/>
        </w:rPr>
        <w:t>4.12</w:t>
      </w:r>
      <w:r>
        <w:rPr>
          <w:rStyle w:val="34"/>
        </w:rPr>
        <w:t xml:space="preserve"> </w:t>
      </w:r>
      <w:r>
        <w:rPr>
          <w:rStyle w:val="34"/>
          <w:rFonts w:hint="eastAsia"/>
        </w:rPr>
        <w:t xml:space="preserve"> 生活用纸</w:t>
      </w:r>
      <w:r>
        <w:rPr>
          <w:rFonts w:hint="eastAsia"/>
        </w:rPr>
        <w:tab/>
      </w:r>
      <w:r>
        <w:rPr>
          <w:rFonts w:hint="eastAsia"/>
        </w:rPr>
        <w:fldChar w:fldCharType="begin"/>
      </w:r>
      <w:r>
        <w:rPr>
          <w:rFonts w:hint="eastAsia"/>
        </w:rPr>
        <w:instrText xml:space="preserve"> </w:instrText>
      </w:r>
      <w:r>
        <w:instrText xml:space="preserve">PAGEREF _Toc175690949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2BE7F911">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"_Toc175690950" </w:instrText>
      </w:r>
      <w:r>
        <w:fldChar w:fldCharType="separate"/>
      </w:r>
      <w:r>
        <w:rPr>
          <w:rStyle w:val="34"/>
          <w:rFonts w:hint="eastAsia"/>
        </w:rPr>
        <w:t>4.13</w:t>
      </w:r>
      <w:r>
        <w:rPr>
          <w:rStyle w:val="34"/>
        </w:rPr>
        <w:t xml:space="preserve"> </w:t>
      </w:r>
      <w:r>
        <w:rPr>
          <w:rStyle w:val="34"/>
          <w:rFonts w:hint="eastAsia"/>
        </w:rPr>
        <w:t xml:space="preserve"> 包装用纸和纸板</w:t>
      </w:r>
      <w:r>
        <w:rPr>
          <w:rFonts w:hint="eastAsia"/>
        </w:rPr>
        <w:tab/>
      </w:r>
      <w:r>
        <w:rPr>
          <w:rFonts w:hint="eastAsia"/>
        </w:rPr>
        <w:fldChar w:fldCharType="begin"/>
      </w:r>
      <w:r>
        <w:rPr>
          <w:rFonts w:hint="eastAsia"/>
        </w:rPr>
        <w:instrText xml:space="preserve"> </w:instrText>
      </w:r>
      <w:r>
        <w:instrText xml:space="preserve">PAGEREF _Toc175690950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7D4AD551">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"_Toc175690951" </w:instrText>
      </w:r>
      <w:r>
        <w:fldChar w:fldCharType="separate"/>
      </w:r>
      <w:r>
        <w:rPr>
          <w:rStyle w:val="34"/>
          <w:rFonts w:hint="eastAsia"/>
        </w:rPr>
        <w:t>4.14</w:t>
      </w:r>
      <w:r>
        <w:rPr>
          <w:rStyle w:val="34"/>
        </w:rPr>
        <w:t xml:space="preserve"> </w:t>
      </w:r>
      <w:r>
        <w:rPr>
          <w:rStyle w:val="34"/>
          <w:rFonts w:hint="eastAsia"/>
        </w:rPr>
        <w:t xml:space="preserve"> 特种纸和纸板</w:t>
      </w:r>
      <w:r>
        <w:rPr>
          <w:rFonts w:hint="eastAsia"/>
        </w:rPr>
        <w:tab/>
      </w:r>
      <w:r>
        <w:rPr>
          <w:rFonts w:hint="eastAsia"/>
        </w:rPr>
        <w:fldChar w:fldCharType="begin"/>
      </w:r>
      <w:r>
        <w:rPr>
          <w:rFonts w:hint="eastAsia"/>
        </w:rPr>
        <w:instrText xml:space="preserve"> </w:instrText>
      </w:r>
      <w:r>
        <w:instrText xml:space="preserve">PAGEREF _Toc175690951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3AE683F4">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"_Toc175690952" </w:instrText>
      </w:r>
      <w:r>
        <w:fldChar w:fldCharType="separate"/>
      </w:r>
      <w:r>
        <w:rPr>
          <w:rStyle w:val="34"/>
          <w:rFonts w:hint="eastAsia"/>
        </w:rPr>
        <w:t>4.15</w:t>
      </w:r>
      <w:r>
        <w:rPr>
          <w:rStyle w:val="34"/>
        </w:rPr>
        <w:t xml:space="preserve"> </w:t>
      </w:r>
      <w:r>
        <w:rPr>
          <w:rStyle w:val="34"/>
          <w:rFonts w:hint="eastAsia"/>
        </w:rPr>
        <w:t xml:space="preserve"> 粘胶纤维</w:t>
      </w:r>
      <w:r>
        <w:rPr>
          <w:rFonts w:hint="eastAsia"/>
        </w:rPr>
        <w:tab/>
      </w:r>
      <w:r>
        <w:rPr>
          <w:rFonts w:hint="eastAsia"/>
        </w:rPr>
        <w:fldChar w:fldCharType="begin"/>
      </w:r>
      <w:r>
        <w:rPr>
          <w:rFonts w:hint="eastAsia"/>
        </w:rPr>
        <w:instrText xml:space="preserve"> </w:instrText>
      </w:r>
      <w:r>
        <w:instrText xml:space="preserve">PAGEREF _Toc175690952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3861077A">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"_Toc175690953" </w:instrText>
      </w:r>
      <w:r>
        <w:fldChar w:fldCharType="separate"/>
      </w:r>
      <w:r>
        <w:rPr>
          <w:rStyle w:val="34"/>
          <w:rFonts w:hint="eastAsia"/>
        </w:rPr>
        <w:t>4.16</w:t>
      </w:r>
      <w:r>
        <w:rPr>
          <w:rStyle w:val="34"/>
        </w:rPr>
        <w:t xml:space="preserve"> </w:t>
      </w:r>
      <w:r>
        <w:rPr>
          <w:rStyle w:val="34"/>
          <w:rFonts w:hint="eastAsia"/>
        </w:rPr>
        <w:t xml:space="preserve"> 锦纶丝</w:t>
      </w:r>
      <w:r>
        <w:rPr>
          <w:rFonts w:hint="eastAsia"/>
        </w:rPr>
        <w:tab/>
      </w:r>
      <w:r>
        <w:rPr>
          <w:rFonts w:hint="eastAsia"/>
        </w:rPr>
        <w:fldChar w:fldCharType="begin"/>
      </w:r>
      <w:r>
        <w:rPr>
          <w:rFonts w:hint="eastAsia"/>
        </w:rPr>
        <w:instrText xml:space="preserve"> </w:instrText>
      </w:r>
      <w:r>
        <w:instrText xml:space="preserve">PAGEREF _Toc175690953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7D689302">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"_Toc175690954" </w:instrText>
      </w:r>
      <w:r>
        <w:fldChar w:fldCharType="separate"/>
      </w:r>
      <w:r>
        <w:rPr>
          <w:rStyle w:val="34"/>
          <w:rFonts w:hint="eastAsia"/>
        </w:rPr>
        <w:t>4.17</w:t>
      </w:r>
      <w:r>
        <w:rPr>
          <w:rStyle w:val="34"/>
        </w:rPr>
        <w:t xml:space="preserve"> </w:t>
      </w:r>
      <w:r>
        <w:rPr>
          <w:rStyle w:val="34"/>
          <w:rFonts w:hint="eastAsia"/>
        </w:rPr>
        <w:t xml:space="preserve"> 蒸压加气混凝土砌块</w:t>
      </w:r>
      <w:r>
        <w:rPr>
          <w:rFonts w:hint="eastAsia"/>
        </w:rPr>
        <w:tab/>
      </w:r>
      <w:r>
        <w:rPr>
          <w:rFonts w:hint="eastAsia"/>
        </w:rPr>
        <w:fldChar w:fldCharType="begin"/>
      </w:r>
      <w:r>
        <w:rPr>
          <w:rFonts w:hint="eastAsia"/>
        </w:rPr>
        <w:instrText xml:space="preserve"> </w:instrText>
      </w:r>
      <w:r>
        <w:instrText xml:space="preserve">PAGEREF _Toc175690954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2FDC9CB4">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"_Toc175690955" </w:instrText>
      </w:r>
      <w:r>
        <w:fldChar w:fldCharType="separate"/>
      </w:r>
      <w:r>
        <w:rPr>
          <w:rStyle w:val="34"/>
          <w:rFonts w:hint="eastAsia"/>
        </w:rPr>
        <w:t>4.18</w:t>
      </w:r>
      <w:r>
        <w:rPr>
          <w:rStyle w:val="34"/>
        </w:rPr>
        <w:t xml:space="preserve"> </w:t>
      </w:r>
      <w:r>
        <w:rPr>
          <w:rStyle w:val="34"/>
          <w:rFonts w:hint="eastAsia"/>
        </w:rPr>
        <w:t xml:space="preserve"> 矿渣粉</w:t>
      </w:r>
      <w:r>
        <w:rPr>
          <w:rFonts w:hint="eastAsia"/>
        </w:rPr>
        <w:tab/>
      </w:r>
      <w:r>
        <w:rPr>
          <w:rFonts w:hint="eastAsia"/>
        </w:rPr>
        <w:fldChar w:fldCharType="begin"/>
      </w:r>
      <w:r>
        <w:rPr>
          <w:rFonts w:hint="eastAsia"/>
        </w:rPr>
        <w:instrText xml:space="preserve"> </w:instrText>
      </w:r>
      <w:r>
        <w:instrText xml:space="preserve">PAGEREF _Toc175690955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3D746B4D">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"_Toc175690956" </w:instrText>
      </w:r>
      <w:r>
        <w:fldChar w:fldCharType="separate"/>
      </w:r>
      <w:r>
        <w:rPr>
          <w:rStyle w:val="34"/>
          <w:rFonts w:hint="eastAsia"/>
        </w:rPr>
        <w:t>4.19</w:t>
      </w:r>
      <w:r>
        <w:rPr>
          <w:rStyle w:val="34"/>
        </w:rPr>
        <w:t xml:space="preserve"> </w:t>
      </w:r>
      <w:r>
        <w:rPr>
          <w:rStyle w:val="34"/>
          <w:rFonts w:hint="eastAsia"/>
        </w:rPr>
        <w:t xml:space="preserve"> 日用玻璃</w:t>
      </w:r>
      <w:r>
        <w:rPr>
          <w:rFonts w:hint="eastAsia"/>
        </w:rPr>
        <w:tab/>
      </w:r>
      <w:r>
        <w:rPr>
          <w:rFonts w:hint="eastAsia"/>
        </w:rPr>
        <w:fldChar w:fldCharType="begin"/>
      </w:r>
      <w:r>
        <w:rPr>
          <w:rFonts w:hint="eastAsia"/>
        </w:rPr>
        <w:instrText xml:space="preserve"> </w:instrText>
      </w:r>
      <w:r>
        <w:instrText xml:space="preserve">PAGEREF _Toc175690956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36452E82">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"_Toc175690957" </w:instrText>
      </w:r>
      <w:r>
        <w:fldChar w:fldCharType="separate"/>
      </w:r>
      <w:r>
        <w:rPr>
          <w:rStyle w:val="34"/>
          <w:rFonts w:hint="eastAsia"/>
        </w:rPr>
        <w:t>4.20</w:t>
      </w:r>
      <w:r>
        <w:rPr>
          <w:rStyle w:val="34"/>
        </w:rPr>
        <w:t xml:space="preserve"> </w:t>
      </w:r>
      <w:r>
        <w:rPr>
          <w:rStyle w:val="34"/>
          <w:rFonts w:hint="eastAsia"/>
        </w:rPr>
        <w:t xml:space="preserve"> 建筑陶瓷</w:t>
      </w:r>
      <w:r>
        <w:rPr>
          <w:rFonts w:hint="eastAsia"/>
        </w:rPr>
        <w:tab/>
      </w:r>
      <w:r>
        <w:rPr>
          <w:rFonts w:hint="eastAsia"/>
        </w:rPr>
        <w:fldChar w:fldCharType="begin"/>
      </w:r>
      <w:r>
        <w:rPr>
          <w:rFonts w:hint="eastAsia"/>
        </w:rPr>
        <w:instrText xml:space="preserve"> </w:instrText>
      </w:r>
      <w:r>
        <w:instrText xml:space="preserve">PAGEREF _Toc175690957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1715FA49">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"_Toc175690958" </w:instrText>
      </w:r>
      <w:r>
        <w:fldChar w:fldCharType="separate"/>
      </w:r>
      <w:r>
        <w:rPr>
          <w:rStyle w:val="34"/>
          <w:rFonts w:hint="eastAsia"/>
        </w:rPr>
        <w:t>4.21</w:t>
      </w:r>
      <w:r>
        <w:rPr>
          <w:rStyle w:val="34"/>
        </w:rPr>
        <w:t xml:space="preserve"> </w:t>
      </w:r>
      <w:r>
        <w:rPr>
          <w:rStyle w:val="34"/>
          <w:rFonts w:hint="eastAsia"/>
        </w:rPr>
        <w:t xml:space="preserve"> 含镍生铁</w:t>
      </w:r>
      <w:r>
        <w:rPr>
          <w:rFonts w:hint="eastAsia"/>
        </w:rPr>
        <w:tab/>
      </w:r>
      <w:r>
        <w:rPr>
          <w:rFonts w:hint="eastAsia"/>
        </w:rPr>
        <w:fldChar w:fldCharType="begin"/>
      </w:r>
      <w:r>
        <w:rPr>
          <w:rFonts w:hint="eastAsia"/>
        </w:rPr>
        <w:instrText xml:space="preserve"> </w:instrText>
      </w:r>
      <w:r>
        <w:instrText xml:space="preserve">PAGEREF _Toc175690958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412F79D1">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"_Toc175690959" </w:instrText>
      </w:r>
      <w:r>
        <w:fldChar w:fldCharType="separate"/>
      </w:r>
      <w:r>
        <w:rPr>
          <w:rStyle w:val="34"/>
          <w:rFonts w:hint="eastAsia"/>
        </w:rPr>
        <w:t>4.22</w:t>
      </w:r>
      <w:r>
        <w:rPr>
          <w:rStyle w:val="34"/>
        </w:rPr>
        <w:t xml:space="preserve"> </w:t>
      </w:r>
      <w:r>
        <w:rPr>
          <w:rStyle w:val="34"/>
          <w:rFonts w:hint="eastAsia"/>
        </w:rPr>
        <w:t xml:space="preserve"> 粗钢</w:t>
      </w:r>
      <w:r>
        <w:rPr>
          <w:rFonts w:hint="eastAsia"/>
        </w:rPr>
        <w:tab/>
      </w:r>
      <w:r>
        <w:rPr>
          <w:rFonts w:hint="eastAsia"/>
        </w:rPr>
        <w:fldChar w:fldCharType="begin"/>
      </w:r>
      <w:r>
        <w:rPr>
          <w:rFonts w:hint="eastAsia"/>
        </w:rPr>
        <w:instrText xml:space="preserve"> </w:instrText>
      </w:r>
      <w:r>
        <w:instrText xml:space="preserve">PAGEREF _Toc175690959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556122B6">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"_Toc175690960" </w:instrText>
      </w:r>
      <w:r>
        <w:fldChar w:fldCharType="separate"/>
      </w:r>
      <w:r>
        <w:rPr>
          <w:rStyle w:val="34"/>
          <w:rFonts w:hint="eastAsia"/>
        </w:rPr>
        <w:t>4.23</w:t>
      </w:r>
      <w:r>
        <w:rPr>
          <w:rStyle w:val="34"/>
        </w:rPr>
        <w:t xml:space="preserve"> </w:t>
      </w:r>
      <w:r>
        <w:rPr>
          <w:rStyle w:val="34"/>
          <w:rFonts w:hint="eastAsia"/>
        </w:rPr>
        <w:t xml:space="preserve"> 铸铁件</w:t>
      </w:r>
      <w:r>
        <w:rPr>
          <w:rFonts w:hint="eastAsia"/>
        </w:rPr>
        <w:tab/>
      </w:r>
      <w:r>
        <w:rPr>
          <w:rFonts w:hint="eastAsia"/>
        </w:rPr>
        <w:fldChar w:fldCharType="begin"/>
      </w:r>
      <w:r>
        <w:rPr>
          <w:rFonts w:hint="eastAsia"/>
        </w:rPr>
        <w:instrText xml:space="preserve"> </w:instrText>
      </w:r>
      <w:r>
        <w:instrText xml:space="preserve">PAGEREF _Toc175690960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0A7D8D84">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"_Toc175690961" </w:instrText>
      </w:r>
      <w:r>
        <w:fldChar w:fldCharType="separate"/>
      </w:r>
      <w:r>
        <w:rPr>
          <w:rStyle w:val="34"/>
          <w:rFonts w:hint="eastAsia"/>
        </w:rPr>
        <w:t>4.24</w:t>
      </w:r>
      <w:r>
        <w:rPr>
          <w:rStyle w:val="34"/>
        </w:rPr>
        <w:t xml:space="preserve"> </w:t>
      </w:r>
      <w:r>
        <w:rPr>
          <w:rStyle w:val="34"/>
          <w:rFonts w:hint="eastAsia"/>
        </w:rPr>
        <w:t xml:space="preserve"> 铸钢件</w:t>
      </w:r>
      <w:r>
        <w:rPr>
          <w:rFonts w:hint="eastAsia"/>
        </w:rPr>
        <w:tab/>
      </w:r>
      <w:r>
        <w:rPr>
          <w:rFonts w:hint="eastAsia"/>
        </w:rPr>
        <w:fldChar w:fldCharType="begin"/>
      </w:r>
      <w:r>
        <w:rPr>
          <w:rFonts w:hint="eastAsia"/>
        </w:rPr>
        <w:instrText xml:space="preserve"> </w:instrText>
      </w:r>
      <w:r>
        <w:instrText xml:space="preserve">PAGEREF _Toc175690961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0DAABBED">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"_Toc175690962" </w:instrText>
      </w:r>
      <w:r>
        <w:fldChar w:fldCharType="separate"/>
      </w:r>
      <w:r>
        <w:rPr>
          <w:rStyle w:val="34"/>
          <w:rFonts w:hint="eastAsia"/>
        </w:rPr>
        <w:t>4.25</w:t>
      </w:r>
      <w:r>
        <w:rPr>
          <w:rStyle w:val="34"/>
        </w:rPr>
        <w:t xml:space="preserve"> </w:t>
      </w:r>
      <w:r>
        <w:rPr>
          <w:rStyle w:val="34"/>
          <w:rFonts w:hint="eastAsia"/>
        </w:rPr>
        <w:t xml:space="preserve"> 铝合金铸件</w:t>
      </w:r>
      <w:r>
        <w:rPr>
          <w:rFonts w:hint="eastAsia"/>
        </w:rPr>
        <w:tab/>
      </w:r>
      <w:r>
        <w:rPr>
          <w:rFonts w:hint="eastAsia"/>
        </w:rPr>
        <w:fldChar w:fldCharType="begin"/>
      </w:r>
      <w:r>
        <w:rPr>
          <w:rFonts w:hint="eastAsia"/>
        </w:rPr>
        <w:instrText xml:space="preserve"> </w:instrText>
      </w:r>
      <w:r>
        <w:instrText xml:space="preserve">PAGEREF _Toc175690962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69F824B3">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"_Toc175690963" </w:instrText>
      </w:r>
      <w:r>
        <w:fldChar w:fldCharType="separate"/>
      </w:r>
      <w:r>
        <w:rPr>
          <w:rStyle w:val="34"/>
          <w:rFonts w:hint="eastAsia"/>
        </w:rPr>
        <w:t>4.26</w:t>
      </w:r>
      <w:r>
        <w:rPr>
          <w:rStyle w:val="34"/>
        </w:rPr>
        <w:t xml:space="preserve"> </w:t>
      </w:r>
      <w:r>
        <w:rPr>
          <w:rStyle w:val="34"/>
          <w:rFonts w:hint="eastAsia"/>
        </w:rPr>
        <w:t xml:space="preserve"> 铅酸蓄电池</w:t>
      </w:r>
      <w:r>
        <w:rPr>
          <w:rFonts w:hint="eastAsia"/>
        </w:rPr>
        <w:tab/>
      </w:r>
      <w:r>
        <w:rPr>
          <w:rFonts w:hint="eastAsia"/>
        </w:rPr>
        <w:fldChar w:fldCharType="begin"/>
      </w:r>
      <w:r>
        <w:rPr>
          <w:rFonts w:hint="eastAsia"/>
        </w:rPr>
        <w:instrText xml:space="preserve"> </w:instrText>
      </w:r>
      <w:r>
        <w:instrText xml:space="preserve">PAGEREF _Toc175690963 \h</w:instrText>
      </w:r>
      <w:r>
        <w:rPr>
          <w:rFonts w:hint="eastAsia"/>
        </w:rPr>
        <w:instrText xml:space="preserve"> </w:instrText>
      </w:r>
      <w:r>
        <w:rPr>
          <w:rFonts w:hint="eastAsia"/>
        </w:rPr>
        <w:fldChar w:fldCharType="separate"/>
      </w:r>
      <w:r>
        <w:t>16</w:t>
      </w:r>
      <w:r>
        <w:rPr>
          <w:rFonts w:hint="eastAsia"/>
        </w:rPr>
        <w:fldChar w:fldCharType="end"/>
      </w:r>
      <w:r>
        <w:rPr>
          <w:rFonts w:hint="eastAsia"/>
        </w:rPr>
        <w:fldChar w:fldCharType="end"/>
      </w:r>
    </w:p>
    <w:p w14:paraId="6FA4CA4E">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"_Toc175690964" </w:instrText>
      </w:r>
      <w:r>
        <w:fldChar w:fldCharType="separate"/>
      </w:r>
      <w:r>
        <w:rPr>
          <w:rStyle w:val="34"/>
          <w:rFonts w:hint="eastAsia"/>
        </w:rPr>
        <w:t>4.27</w:t>
      </w:r>
      <w:r>
        <w:rPr>
          <w:rStyle w:val="34"/>
        </w:rPr>
        <w:t xml:space="preserve"> </w:t>
      </w:r>
      <w:r>
        <w:rPr>
          <w:rStyle w:val="34"/>
          <w:rFonts w:hint="eastAsia"/>
        </w:rPr>
        <w:t xml:space="preserve"> 印制电路板</w:t>
      </w:r>
      <w:r>
        <w:rPr>
          <w:rFonts w:hint="eastAsia"/>
        </w:rPr>
        <w:tab/>
      </w:r>
      <w:r>
        <w:rPr>
          <w:rFonts w:hint="eastAsia"/>
        </w:rPr>
        <w:fldChar w:fldCharType="begin"/>
      </w:r>
      <w:r>
        <w:rPr>
          <w:rFonts w:hint="eastAsia"/>
        </w:rPr>
        <w:instrText xml:space="preserve"> </w:instrText>
      </w:r>
      <w:r>
        <w:instrText xml:space="preserve">PAGEREF _Toc175690964 \h</w:instrText>
      </w:r>
      <w:r>
        <w:rPr>
          <w:rFonts w:hint="eastAsia"/>
        </w:rPr>
        <w:instrText xml:space="preserve"> </w:instrText>
      </w:r>
      <w:r>
        <w:rPr>
          <w:rFonts w:hint="eastAsia"/>
        </w:rPr>
        <w:fldChar w:fldCharType="separate"/>
      </w:r>
      <w:r>
        <w:t>16</w:t>
      </w:r>
      <w:r>
        <w:rPr>
          <w:rFonts w:hint="eastAsia"/>
        </w:rPr>
        <w:fldChar w:fldCharType="end"/>
      </w:r>
      <w:r>
        <w:rPr>
          <w:rFonts w:hint="eastAsia"/>
        </w:rPr>
        <w:fldChar w:fldCharType="end"/>
      </w:r>
    </w:p>
    <w:p w14:paraId="1FF20607">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"_Toc175690965" </w:instrText>
      </w:r>
      <w:r>
        <w:fldChar w:fldCharType="separate"/>
      </w:r>
      <w:r>
        <w:rPr>
          <w:rStyle w:val="34"/>
          <w:rFonts w:hint="eastAsia"/>
        </w:rPr>
        <w:t>4.28</w:t>
      </w:r>
      <w:r>
        <w:rPr>
          <w:rStyle w:val="34"/>
        </w:rPr>
        <w:t xml:space="preserve"> </w:t>
      </w:r>
      <w:r>
        <w:rPr>
          <w:rStyle w:val="34"/>
          <w:rFonts w:hint="eastAsia"/>
        </w:rPr>
        <w:t xml:space="preserve"> 自来水（制水）</w:t>
      </w:r>
      <w:r>
        <w:rPr>
          <w:rFonts w:hint="eastAsia"/>
        </w:rPr>
        <w:tab/>
      </w:r>
      <w:r>
        <w:rPr>
          <w:rFonts w:hint="eastAsia"/>
        </w:rPr>
        <w:fldChar w:fldCharType="begin"/>
      </w:r>
      <w:r>
        <w:rPr>
          <w:rFonts w:hint="eastAsia"/>
        </w:rPr>
        <w:instrText xml:space="preserve"> </w:instrText>
      </w:r>
      <w:r>
        <w:instrText xml:space="preserve">PAGEREF _Toc175690965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22DDFF67">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"_Toc175690966" </w:instrText>
      </w:r>
      <w:r>
        <w:fldChar w:fldCharType="separate"/>
      </w:r>
      <w:r>
        <w:rPr>
          <w:rStyle w:val="34"/>
          <w:rFonts w:hint="eastAsia"/>
        </w:rPr>
        <w:t>4.29</w:t>
      </w:r>
      <w:r>
        <w:rPr>
          <w:rStyle w:val="34"/>
        </w:rPr>
        <w:t xml:space="preserve"> </w:t>
      </w:r>
      <w:r>
        <w:rPr>
          <w:rStyle w:val="34"/>
          <w:rFonts w:hint="eastAsia"/>
        </w:rPr>
        <w:t xml:space="preserve"> 工业气体空分产品</w:t>
      </w:r>
      <w:r>
        <w:rPr>
          <w:rFonts w:hint="eastAsia"/>
        </w:rPr>
        <w:tab/>
      </w:r>
      <w:r>
        <w:rPr>
          <w:rFonts w:hint="eastAsia"/>
        </w:rPr>
        <w:fldChar w:fldCharType="begin"/>
      </w:r>
      <w:r>
        <w:rPr>
          <w:rFonts w:hint="eastAsia"/>
        </w:rPr>
        <w:instrText xml:space="preserve"> </w:instrText>
      </w:r>
      <w:r>
        <w:instrText xml:space="preserve">PAGEREF _Toc175690966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399BE97C">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"_Toc175690967" </w:instrText>
      </w:r>
      <w:r>
        <w:fldChar w:fldCharType="separate"/>
      </w:r>
      <w:r>
        <w:rPr>
          <w:rStyle w:val="34"/>
          <w:rFonts w:hint="eastAsia"/>
        </w:rPr>
        <w:t>4.30</w:t>
      </w:r>
      <w:r>
        <w:rPr>
          <w:rStyle w:val="34"/>
        </w:rPr>
        <w:t xml:space="preserve"> </w:t>
      </w:r>
      <w:r>
        <w:rPr>
          <w:rStyle w:val="34"/>
          <w:rFonts w:hint="eastAsia"/>
        </w:rPr>
        <w:t xml:space="preserve"> 压缩空气站</w:t>
      </w:r>
      <w:r>
        <w:rPr>
          <w:rFonts w:hint="eastAsia"/>
        </w:rPr>
        <w:tab/>
      </w:r>
      <w:r>
        <w:rPr>
          <w:rFonts w:hint="eastAsia"/>
        </w:rPr>
        <w:fldChar w:fldCharType="begin"/>
      </w:r>
      <w:r>
        <w:rPr>
          <w:rFonts w:hint="eastAsia"/>
        </w:rPr>
        <w:instrText xml:space="preserve"> </w:instrText>
      </w:r>
      <w:r>
        <w:instrText xml:space="preserve">PAGEREF _Toc175690967 \h</w:instrText>
      </w:r>
      <w:r>
        <w:rPr>
          <w:rFonts w:hint="eastAsia"/>
        </w:rPr>
        <w:instrText xml:space="preserve"> </w:instrText>
      </w:r>
      <w:r>
        <w:rPr>
          <w:rFonts w:hint="eastAsia"/>
        </w:rPr>
        <w:fldChar w:fldCharType="separate"/>
      </w:r>
      <w:r>
        <w:t>18</w:t>
      </w:r>
      <w:r>
        <w:rPr>
          <w:rFonts w:hint="eastAsia"/>
        </w:rPr>
        <w:fldChar w:fldCharType="end"/>
      </w:r>
      <w:r>
        <w:rPr>
          <w:rFonts w:hint="eastAsia"/>
        </w:rPr>
        <w:fldChar w:fldCharType="end"/>
      </w:r>
    </w:p>
    <w:p w14:paraId="2D59166F">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"_Toc175690968" </w:instrText>
      </w:r>
      <w:r>
        <w:fldChar w:fldCharType="separate"/>
      </w:r>
      <w:r>
        <w:rPr>
          <w:rStyle w:val="34"/>
          <w:rFonts w:hint="eastAsia"/>
        </w:rPr>
        <w:t>4.31</w:t>
      </w:r>
      <w:r>
        <w:rPr>
          <w:rStyle w:val="34"/>
        </w:rPr>
        <w:t xml:space="preserve"> </w:t>
      </w:r>
      <w:r>
        <w:rPr>
          <w:rStyle w:val="34"/>
          <w:rFonts w:hint="eastAsia"/>
        </w:rPr>
        <w:t xml:space="preserve"> 宾馆</w:t>
      </w:r>
      <w:r>
        <w:rPr>
          <w:rFonts w:hint="eastAsia"/>
        </w:rPr>
        <w:tab/>
      </w:r>
      <w:r>
        <w:rPr>
          <w:rFonts w:hint="eastAsia"/>
        </w:rPr>
        <w:fldChar w:fldCharType="begin"/>
      </w:r>
      <w:r>
        <w:rPr>
          <w:rFonts w:hint="eastAsia"/>
        </w:rPr>
        <w:instrText xml:space="preserve"> </w:instrText>
      </w:r>
      <w:r>
        <w:instrText xml:space="preserve">PAGEREF _Toc175690968 \h</w:instrText>
      </w:r>
      <w:r>
        <w:rPr>
          <w:rFonts w:hint="eastAsia"/>
        </w:rPr>
        <w:instrText xml:space="preserve"> </w:instrText>
      </w:r>
      <w:r>
        <w:rPr>
          <w:rFonts w:hint="eastAsia"/>
        </w:rPr>
        <w:fldChar w:fldCharType="separate"/>
      </w:r>
      <w:r>
        <w:t>18</w:t>
      </w:r>
      <w:r>
        <w:rPr>
          <w:rFonts w:hint="eastAsia"/>
        </w:rPr>
        <w:fldChar w:fldCharType="end"/>
      </w:r>
      <w:r>
        <w:rPr>
          <w:rFonts w:hint="eastAsia"/>
        </w:rPr>
        <w:fldChar w:fldCharType="end"/>
      </w:r>
    </w:p>
    <w:p w14:paraId="4DBE78BD">
      <w:pPr>
        <w:pStyle w:val="25"/>
        <w:rPr>
          <w:rFonts w:hint="eastAsia" w:asciiTheme="minorHAnsi" w:hAnsiTheme="minorHAnsi" w:eastAsiaTheme="minorEastAsia" w:cstheme="minorBidi"/>
          <w:szCs w:val="22"/>
          <w14:ligatures w14:val="standardContextual"/>
        </w:rPr>
      </w:pPr>
      <w:r>
        <w:fldChar w:fldCharType="begin"/>
      </w:r>
      <w:r>
        <w:instrText xml:space="preserve"> HYPERLINK \l "_Toc175690969" </w:instrText>
      </w:r>
      <w:r>
        <w:fldChar w:fldCharType="separate"/>
      </w:r>
      <w:r>
        <w:rPr>
          <w:rStyle w:val="34"/>
          <w:rFonts w:hint="eastAsia"/>
        </w:rPr>
        <w:t>4.32</w:t>
      </w:r>
      <w:r>
        <w:rPr>
          <w:rStyle w:val="34"/>
        </w:rPr>
        <w:t xml:space="preserve"> </w:t>
      </w:r>
      <w:r>
        <w:rPr>
          <w:rStyle w:val="34"/>
          <w:rFonts w:hint="eastAsia"/>
        </w:rPr>
        <w:t xml:space="preserve"> 商场</w:t>
      </w:r>
      <w:r>
        <w:rPr>
          <w:rFonts w:hint="eastAsia"/>
        </w:rPr>
        <w:tab/>
      </w:r>
      <w:r>
        <w:rPr>
          <w:rFonts w:hint="eastAsia"/>
        </w:rPr>
        <w:fldChar w:fldCharType="begin"/>
      </w:r>
      <w:r>
        <w:rPr>
          <w:rFonts w:hint="eastAsia"/>
        </w:rPr>
        <w:instrText xml:space="preserve"> </w:instrText>
      </w:r>
      <w:r>
        <w:instrText xml:space="preserve">PAGEREF _Toc175690969 \h</w:instrText>
      </w:r>
      <w:r>
        <w:rPr>
          <w:rFonts w:hint="eastAsia"/>
        </w:rPr>
        <w:instrText xml:space="preserve"> </w:instrText>
      </w:r>
      <w:r>
        <w:rPr>
          <w:rFonts w:hint="eastAsia"/>
        </w:rPr>
        <w:fldChar w:fldCharType="separate"/>
      </w:r>
      <w:r>
        <w:t>18</w:t>
      </w:r>
      <w:r>
        <w:rPr>
          <w:rFonts w:hint="eastAsia"/>
        </w:rPr>
        <w:fldChar w:fldCharType="end"/>
      </w:r>
      <w:r>
        <w:rPr>
          <w:rFonts w:hint="eastAsia"/>
        </w:rPr>
        <w:fldChar w:fldCharType="end"/>
      </w:r>
    </w:p>
    <w:p w14:paraId="1F2AD164">
      <w:pPr>
        <w:pStyle w:val="20"/>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"_Toc175690970" </w:instrText>
      </w:r>
      <w:r>
        <w:fldChar w:fldCharType="separate"/>
      </w:r>
      <w:r>
        <w:rPr>
          <w:rStyle w:val="34"/>
          <w:rFonts w:hint="eastAsia"/>
        </w:rPr>
        <w:t>5</w:t>
      </w:r>
      <w:r>
        <w:rPr>
          <w:rStyle w:val="34"/>
        </w:rPr>
        <w:t xml:space="preserve"> </w:t>
      </w:r>
      <w:r>
        <w:rPr>
          <w:rStyle w:val="34"/>
          <w:rFonts w:hint="eastAsia"/>
        </w:rPr>
        <w:t xml:space="preserve"> 统计范围和计算方法</w:t>
      </w:r>
      <w:r>
        <w:rPr>
          <w:rFonts w:hint="eastAsia"/>
        </w:rPr>
        <w:tab/>
      </w:r>
      <w:r>
        <w:rPr>
          <w:rFonts w:hint="eastAsia"/>
        </w:rPr>
        <w:fldChar w:fldCharType="begin"/>
      </w:r>
      <w:r>
        <w:rPr>
          <w:rFonts w:hint="eastAsia"/>
        </w:rPr>
        <w:instrText xml:space="preserve"> </w:instrText>
      </w:r>
      <w:r>
        <w:instrText xml:space="preserve">PAGEREF _Toc175690970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253B79D8">
      <w:pPr>
        <w:pStyle w:val="94"/>
        <w:spacing w:after="468"/>
        <w:sectPr>
          <w:headerReference r:id="rId11" w:type="default"/>
          <w:footerReference r:id="rId13" w:type="default"/>
          <w:headerReference r:id="rId12" w:type="even"/>
          <w:footerReference r:id="rId14" w:type="even"/>
          <w:pgSz w:w="11906" w:h="16838"/>
          <w:pgMar w:top="567" w:right="1134" w:bottom="1134" w:left="1134" w:header="1418" w:footer="1134" w:gutter="284"/>
          <w:pgNumType w:fmt="upperRoman" w:start="1"/>
          <w:cols w:space="425" w:num="1"/>
          <w:formProt w:val="0"/>
          <w:docGrid w:type="lines" w:linePitch="312" w:charSpace="0"/>
        </w:sectPr>
      </w:pPr>
      <w:r>
        <w:fldChar w:fldCharType="end"/>
      </w:r>
    </w:p>
    <w:bookmarkEnd w:id="20"/>
    <w:p w14:paraId="144A7A92">
      <w:pPr>
        <w:pStyle w:val="92"/>
        <w:spacing w:after="468"/>
      </w:pPr>
      <w:bookmarkStart w:id="25" w:name="_Toc175690933"/>
      <w:bookmarkStart w:id="26" w:name="BookMark2"/>
      <w:r>
        <w:rPr>
          <w:spacing w:val="320"/>
        </w:rPr>
        <w:t>前</w:t>
      </w:r>
      <w:r>
        <w:t>言</w:t>
      </w:r>
      <w:bookmarkEnd w:id="21"/>
      <w:bookmarkEnd w:id="22"/>
      <w:bookmarkEnd w:id="23"/>
      <w:bookmarkEnd w:id="24"/>
      <w:bookmarkEnd w:id="25"/>
    </w:p>
    <w:p w14:paraId="084CF4FB">
      <w:pPr>
        <w:pStyle w:val="59"/>
        <w:ind w:firstLine="420"/>
      </w:pPr>
      <w:r>
        <w:rPr>
          <w:rFonts w:hint="eastAsia"/>
        </w:rPr>
        <w:t>本文件按照GB/T 1.1—2020《标准化工作导则  第1部分：标准化文件的结构和起草规则》的规定起草。</w:t>
      </w:r>
    </w:p>
    <w:p w14:paraId="0B5EEEAB">
      <w:pPr>
        <w:pStyle w:val="59"/>
        <w:ind w:firstLine="420"/>
      </w:pPr>
      <w:r>
        <w:rPr>
          <w:rFonts w:hint="eastAsia"/>
        </w:rPr>
        <w:t>请注意本文件的某些内容可能涉及专利。本文件的发布机构不承担识别专利的责任。</w:t>
      </w:r>
    </w:p>
    <w:p w14:paraId="53F6D369">
      <w:pPr>
        <w:pStyle w:val="59"/>
        <w:ind w:firstLine="420"/>
      </w:pPr>
      <w:r>
        <w:rPr>
          <w:rFonts w:hint="eastAsia"/>
        </w:rPr>
        <w:t>本文件代替</w:t>
      </w:r>
      <w:r>
        <w:t>DB32 2060</w:t>
      </w:r>
      <w:r>
        <w:rPr>
          <w:rFonts w:hint="eastAsia"/>
        </w:rPr>
        <w:t>—</w:t>
      </w:r>
      <w:r>
        <w:t>2018</w:t>
      </w:r>
      <w:r>
        <w:rPr>
          <w:rFonts w:hint="eastAsia"/>
        </w:rPr>
        <w:t>《单位能耗限额》，与</w:t>
      </w:r>
      <w:r>
        <w:t>DB32 2060</w:t>
      </w:r>
      <w:r>
        <w:rPr>
          <w:rFonts w:hint="eastAsia"/>
        </w:rPr>
        <w:t>—</w:t>
      </w:r>
      <w:r>
        <w:t>2018</w:t>
      </w:r>
      <w:r>
        <w:rPr>
          <w:rFonts w:hint="eastAsia"/>
        </w:rPr>
        <w:t>相比，除结构调整和编辑性改动外，主要技术变化如下：</w:t>
      </w:r>
    </w:p>
    <w:p w14:paraId="3F195350">
      <w:pPr>
        <w:pStyle w:val="177"/>
      </w:pPr>
      <w:bookmarkStart w:id="27" w:name="_Hlk67643822"/>
      <w:r>
        <w:rPr>
          <w:rFonts w:hint="eastAsia"/>
        </w:rPr>
        <w:t>删除了炼油（见2</w:t>
      </w:r>
      <w:r>
        <w:t>018</w:t>
      </w:r>
      <w:r>
        <w:rPr>
          <w:rFonts w:hint="eastAsia"/>
        </w:rPr>
        <w:t>版的4</w:t>
      </w:r>
      <w:r>
        <w:t>.15</w:t>
      </w:r>
      <w:r>
        <w:rPr>
          <w:rFonts w:hint="eastAsia"/>
        </w:rPr>
        <w:t>）、炭黑（见2</w:t>
      </w:r>
      <w:r>
        <w:t>018</w:t>
      </w:r>
      <w:r>
        <w:rPr>
          <w:rFonts w:hint="eastAsia"/>
        </w:rPr>
        <w:t>版的4</w:t>
      </w:r>
      <w:r>
        <w:t>.1</w:t>
      </w:r>
      <w:r>
        <w:rPr>
          <w:rFonts w:hint="eastAsia"/>
        </w:rPr>
        <w:t>6）、纯碱（见2</w:t>
      </w:r>
      <w:r>
        <w:t>018</w:t>
      </w:r>
      <w:r>
        <w:rPr>
          <w:rFonts w:hint="eastAsia"/>
        </w:rPr>
        <w:t>版的4</w:t>
      </w:r>
      <w:r>
        <w:t>.1</w:t>
      </w:r>
      <w:r>
        <w:rPr>
          <w:rFonts w:hint="eastAsia"/>
        </w:rPr>
        <w:t>7）、乙烯（见2</w:t>
      </w:r>
      <w:r>
        <w:t>018</w:t>
      </w:r>
      <w:r>
        <w:rPr>
          <w:rFonts w:hint="eastAsia"/>
        </w:rPr>
        <w:t>版的4</w:t>
      </w:r>
      <w:r>
        <w:t>.18</w:t>
      </w:r>
      <w:r>
        <w:rPr>
          <w:rFonts w:hint="eastAsia"/>
        </w:rPr>
        <w:t>）、涤纶纤维（见2</w:t>
      </w:r>
      <w:r>
        <w:t>018</w:t>
      </w:r>
      <w:r>
        <w:rPr>
          <w:rFonts w:hint="eastAsia"/>
        </w:rPr>
        <w:t>版的4</w:t>
      </w:r>
      <w:r>
        <w:t>.21</w:t>
      </w:r>
      <w:r>
        <w:rPr>
          <w:rFonts w:hint="eastAsia"/>
        </w:rPr>
        <w:t>）、轮胎（见2</w:t>
      </w:r>
      <w:r>
        <w:t>018</w:t>
      </w:r>
      <w:r>
        <w:rPr>
          <w:rFonts w:hint="eastAsia"/>
        </w:rPr>
        <w:t>版的4</w:t>
      </w:r>
      <w:r>
        <w:t>.2</w:t>
      </w:r>
      <w:r>
        <w:rPr>
          <w:rFonts w:hint="eastAsia"/>
        </w:rPr>
        <w:t>2）、日用陶瓷（见2</w:t>
      </w:r>
      <w:r>
        <w:t>018</w:t>
      </w:r>
      <w:r>
        <w:rPr>
          <w:rFonts w:hint="eastAsia"/>
        </w:rPr>
        <w:t>版的4</w:t>
      </w:r>
      <w:r>
        <w:t>.27</w:t>
      </w:r>
      <w:r>
        <w:rPr>
          <w:rFonts w:hint="eastAsia"/>
        </w:rPr>
        <w:t>）、热电联产（见2</w:t>
      </w:r>
      <w:r>
        <w:t>018</w:t>
      </w:r>
      <w:r>
        <w:rPr>
          <w:rFonts w:hint="eastAsia"/>
        </w:rPr>
        <w:t>版的4</w:t>
      </w:r>
      <w:r>
        <w:t>.35</w:t>
      </w:r>
      <w:r>
        <w:rPr>
          <w:rFonts w:hint="eastAsia"/>
        </w:rPr>
        <w:t>）、行政机关（见2</w:t>
      </w:r>
      <w:r>
        <w:t>018</w:t>
      </w:r>
      <w:r>
        <w:rPr>
          <w:rFonts w:hint="eastAsia"/>
        </w:rPr>
        <w:t>版的4</w:t>
      </w:r>
      <w:r>
        <w:t>.3</w:t>
      </w:r>
      <w:r>
        <w:rPr>
          <w:rFonts w:hint="eastAsia"/>
        </w:rPr>
        <w:t>8）和普通高校（见2</w:t>
      </w:r>
      <w:r>
        <w:t>018</w:t>
      </w:r>
      <w:r>
        <w:rPr>
          <w:rFonts w:hint="eastAsia"/>
        </w:rPr>
        <w:t>版的4</w:t>
      </w:r>
      <w:r>
        <w:t>.3</w:t>
      </w:r>
      <w:r>
        <w:rPr>
          <w:rFonts w:hint="eastAsia"/>
        </w:rPr>
        <w:t>9）的</w:t>
      </w:r>
      <w:bookmarkEnd w:id="27"/>
      <w:r>
        <w:rPr>
          <w:rFonts w:hint="eastAsia"/>
        </w:rPr>
        <w:t>能耗指标；</w:t>
      </w:r>
    </w:p>
    <w:p w14:paraId="499DFAAE">
      <w:pPr>
        <w:pStyle w:val="177"/>
      </w:pPr>
      <w:r>
        <w:rPr>
          <w:rFonts w:hint="eastAsia"/>
        </w:rPr>
        <w:t>删除了感应电炉吨金属液综合电耗和燃料炉吨金属液综合能耗的限定值（见2</w:t>
      </w:r>
      <w:r>
        <w:t>018</w:t>
      </w:r>
      <w:r>
        <w:rPr>
          <w:rFonts w:hint="eastAsia"/>
        </w:rPr>
        <w:t>版的4</w:t>
      </w:r>
      <w:r>
        <w:t>.31.2</w:t>
      </w:r>
      <w:r>
        <w:rPr>
          <w:rFonts w:hint="eastAsia"/>
        </w:rPr>
        <w:t>）和准入值（见2</w:t>
      </w:r>
      <w:r>
        <w:t>018</w:t>
      </w:r>
      <w:r>
        <w:rPr>
          <w:rFonts w:hint="eastAsia"/>
        </w:rPr>
        <w:t>版的4</w:t>
      </w:r>
      <w:r>
        <w:t>.31.4</w:t>
      </w:r>
      <w:r>
        <w:rPr>
          <w:rFonts w:hint="eastAsia"/>
        </w:rPr>
        <w:t>）；</w:t>
      </w:r>
    </w:p>
    <w:p w14:paraId="4CA6BE26">
      <w:pPr>
        <w:pStyle w:val="177"/>
      </w:pPr>
      <w:r>
        <w:rPr>
          <w:rFonts w:hint="eastAsia"/>
        </w:rPr>
        <w:t>增加了感应电炉、电阻炉吨金属液综合电耗和燃气铝合金熔化炉吨金属液综合能耗的限定值和准入值（见4</w:t>
      </w:r>
      <w:r>
        <w:t>.2</w:t>
      </w:r>
      <w:r>
        <w:rPr>
          <w:rFonts w:hint="eastAsia"/>
        </w:rPr>
        <w:t>6</w:t>
      </w:r>
      <w:r>
        <w:t>.</w:t>
      </w:r>
      <w:r>
        <w:rPr>
          <w:rFonts w:hint="eastAsia"/>
        </w:rPr>
        <w:t>3）；</w:t>
      </w:r>
    </w:p>
    <w:p w14:paraId="33D9A8F3">
      <w:pPr>
        <w:pStyle w:val="177"/>
      </w:pPr>
      <w:r>
        <w:rPr>
          <w:rFonts w:hint="eastAsia"/>
        </w:rPr>
        <w:t>增加了压缩空气站运行电耗限额。</w:t>
      </w:r>
    </w:p>
    <w:p w14:paraId="40333065">
      <w:pPr>
        <w:pStyle w:val="59"/>
        <w:ind w:firstLine="420"/>
      </w:pPr>
      <w:r>
        <w:rPr>
          <w:rFonts w:hint="eastAsia"/>
        </w:rPr>
        <w:t>本文件由江苏省工业和信息化厅提出、归口并组织实施。</w:t>
      </w:r>
    </w:p>
    <w:p w14:paraId="06D45C6D">
      <w:pPr>
        <w:pStyle w:val="59"/>
        <w:ind w:firstLine="420"/>
      </w:pPr>
      <w:r>
        <w:rPr>
          <w:rFonts w:hint="eastAsia"/>
        </w:rPr>
        <w:t>本文件起草单位：南京市节能技术服务中心、江苏省质量和标准化研究院、无锡市节能监察支队、南京市节能监察中心、苏州市节能监察中心、常州市</w:t>
      </w:r>
      <w:r>
        <w:rPr>
          <w:rFonts w:hint="eastAsia"/>
          <w:lang w:eastAsia="zh-CN"/>
        </w:rPr>
        <w:t>产业发展促进中心</w:t>
      </w:r>
      <w:r>
        <w:rPr>
          <w:rFonts w:hint="eastAsia"/>
        </w:rPr>
        <w:t>、扬州市节能管理服务中心、江苏省能源研究会。</w:t>
      </w:r>
    </w:p>
    <w:p w14:paraId="1BEA6AE3">
      <w:pPr>
        <w:pStyle w:val="59"/>
        <w:ind w:firstLine="420"/>
      </w:pPr>
      <w:r>
        <w:rPr>
          <w:rFonts w:hint="eastAsia"/>
        </w:rPr>
        <w:t>本文件主要起草人：杨迪芳、马武忠、陈银龙、吴春华、赵沐雯、赵政、孙恒友、王光辉、冯朴、高建丽、陈冲、郭峰、倪玄、陆琪铭、杨俊、朱俊明、刘广莉、徐昊玥、姚芳龙、李长林、孙军、唐俊松、马奇、顾淼波。</w:t>
      </w:r>
    </w:p>
    <w:p w14:paraId="0B133D2B">
      <w:pPr>
        <w:pStyle w:val="59"/>
        <w:ind w:firstLine="420"/>
      </w:pPr>
      <w:bookmarkStart w:id="28" w:name="_Hlk175502204"/>
      <w:r>
        <w:rPr>
          <w:rFonts w:hint="eastAsia"/>
        </w:rPr>
        <w:t>本文件及其所代替文件的历次版本发布情况为：</w:t>
      </w:r>
    </w:p>
    <w:p w14:paraId="7C1E3EA9">
      <w:pPr>
        <w:pStyle w:val="135"/>
      </w:pPr>
      <w:r>
        <w:rPr>
          <w:rFonts w:hint="eastAsia"/>
        </w:rPr>
        <w:t>2018年首次发布为DB32 2060—2018；</w:t>
      </w:r>
    </w:p>
    <w:p w14:paraId="2F56C165">
      <w:pPr>
        <w:pStyle w:val="135"/>
      </w:pPr>
      <w:r>
        <w:rPr>
          <w:rFonts w:hint="eastAsia"/>
        </w:rPr>
        <w:t>本次为第</w:t>
      </w:r>
      <w:bookmarkStart w:id="634" w:name="_GoBack"/>
      <w:bookmarkEnd w:id="634"/>
      <w:r>
        <w:rPr>
          <w:rFonts w:hint="eastAsia"/>
          <w:lang w:eastAsia="zh-CN"/>
        </w:rPr>
        <w:t>一</w:t>
      </w:r>
      <w:r>
        <w:rPr>
          <w:rFonts w:hint="eastAsia"/>
        </w:rPr>
        <w:t>次修订。</w:t>
      </w:r>
    </w:p>
    <w:bookmarkEnd w:id="28"/>
    <w:p w14:paraId="2E461E07">
      <w:pPr>
        <w:pStyle w:val="59"/>
        <w:ind w:firstLine="420"/>
      </w:pPr>
    </w:p>
    <w:p w14:paraId="03564992">
      <w:pPr>
        <w:pStyle w:val="59"/>
        <w:ind w:firstLine="420"/>
        <w:sectPr>
          <w:headerReference r:id="rId15" w:type="default"/>
          <w:footerReference r:id="rId17" w:type="default"/>
          <w:headerReference r:id="rId16" w:type="even"/>
          <w:footerReference r:id="rId18" w:type="even"/>
          <w:pgSz w:w="11906" w:h="16838"/>
          <w:pgMar w:top="567" w:right="1134" w:bottom="1134" w:left="1134" w:header="1418" w:footer="1134" w:gutter="284"/>
          <w:pgNumType w:fmt="upperRoman"/>
          <w:cols w:space="425" w:num="1"/>
          <w:formProt w:val="0"/>
          <w:docGrid w:type="lines" w:linePitch="312" w:charSpace="0"/>
        </w:sectPr>
      </w:pPr>
    </w:p>
    <w:bookmarkEnd w:id="26"/>
    <w:p w14:paraId="78B0D217">
      <w:pPr>
        <w:spacing w:line="20" w:lineRule="exact"/>
        <w:jc w:val="center"/>
        <w:rPr>
          <w:rFonts w:hint="eastAsia" w:ascii="黑体" w:hAnsi="黑体" w:eastAsia="黑体"/>
          <w:sz w:val="32"/>
          <w:szCs w:val="32"/>
        </w:rPr>
      </w:pPr>
      <w:bookmarkStart w:id="29" w:name="BookMark4"/>
    </w:p>
    <w:p w14:paraId="3278C76C">
      <w:pPr>
        <w:spacing w:line="20" w:lineRule="exact"/>
        <w:jc w:val="center"/>
        <w:rPr>
          <w:rFonts w:hint="eastAsia" w:ascii="黑体" w:hAnsi="黑体" w:eastAsia="黑体"/>
          <w:sz w:val="32"/>
          <w:szCs w:val="32"/>
        </w:rPr>
      </w:pPr>
    </w:p>
    <w:sdt>
      <w:sdtPr>
        <w:tag w:val="NEW_STAND_NAME"/>
        <w:id w:val="595910757"/>
        <w:lock w:val="sdtLocked"/>
        <w:placeholder>
          <w:docPart w:val="27A503CE06C541088FAD6183DA66B4BA"/>
        </w:placeholder>
      </w:sdtPr>
      <w:sdtContent>
        <w:p w14:paraId="5E8758DE">
          <w:pPr>
            <w:pStyle w:val="180"/>
            <w:spacing w:before="312" w:beforeLines="100" w:after="686" w:afterLines="220"/>
            <w:rPr>
              <w:rFonts w:hint="eastAsia"/>
            </w:rPr>
          </w:pPr>
          <w:bookmarkStart w:id="30" w:name="NEW_STAND_NAME"/>
          <w:r>
            <w:rPr>
              <w:rFonts w:hint="eastAsia"/>
            </w:rPr>
            <w:t>单位能耗限额</w:t>
          </w:r>
        </w:p>
      </w:sdtContent>
    </w:sdt>
    <w:bookmarkEnd w:id="30"/>
    <w:p w14:paraId="0969264D">
      <w:pPr>
        <w:pStyle w:val="107"/>
        <w:spacing w:before="312" w:after="312"/>
      </w:pPr>
      <w:bookmarkStart w:id="31" w:name="_Toc175690934"/>
      <w:bookmarkStart w:id="32" w:name="_Toc26986530"/>
      <w:bookmarkStart w:id="33" w:name="_Toc26648465"/>
      <w:bookmarkStart w:id="34" w:name="_Toc17233333"/>
      <w:bookmarkStart w:id="35" w:name="_Toc17233325"/>
      <w:bookmarkStart w:id="36" w:name="_Toc17529"/>
      <w:bookmarkStart w:id="37" w:name="_Toc175504948"/>
      <w:bookmarkStart w:id="38" w:name="_Toc24884211"/>
      <w:bookmarkStart w:id="39" w:name="_Toc29750"/>
      <w:bookmarkStart w:id="40" w:name="_Toc26986771"/>
      <w:bookmarkStart w:id="41" w:name="_Toc26718930"/>
      <w:bookmarkStart w:id="42" w:name="_Toc24884218"/>
      <w:bookmarkStart w:id="43" w:name="_Toc21732"/>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p>
    <w:p w14:paraId="21EF0FCC">
      <w:pPr>
        <w:pStyle w:val="59"/>
        <w:ind w:firstLine="420"/>
      </w:pPr>
      <w:bookmarkStart w:id="44" w:name="_Toc24884212"/>
      <w:bookmarkStart w:id="45" w:name="_Toc17233334"/>
      <w:bookmarkStart w:id="46" w:name="_Toc26648466"/>
      <w:bookmarkStart w:id="47" w:name="_Toc24884219"/>
      <w:bookmarkStart w:id="48" w:name="_Toc17233326"/>
      <w:r>
        <w:rPr>
          <w:rFonts w:hint="eastAsia"/>
        </w:rPr>
        <w:t>本文件规定了30个产品和宾馆、商场的单位能源消耗（以下简称能耗）的术语和定义、能耗指标。</w:t>
      </w:r>
    </w:p>
    <w:p w14:paraId="6B3DC4F2">
      <w:pPr>
        <w:pStyle w:val="59"/>
        <w:ind w:firstLine="420"/>
      </w:pPr>
      <w:r>
        <w:rPr>
          <w:rFonts w:hint="eastAsia"/>
        </w:rPr>
        <w:t>本文件适用于用能单位能耗的考核以及对新建、扩建项目的能耗控制。</w:t>
      </w:r>
    </w:p>
    <w:p w14:paraId="3BB96ED3">
      <w:pPr>
        <w:pStyle w:val="107"/>
        <w:spacing w:before="312" w:after="312"/>
      </w:pPr>
      <w:bookmarkStart w:id="49" w:name="_Toc4239"/>
      <w:bookmarkStart w:id="50" w:name="_Toc175690935"/>
      <w:bookmarkStart w:id="51" w:name="_Toc26986772"/>
      <w:bookmarkStart w:id="52" w:name="_Toc8956"/>
      <w:bookmarkStart w:id="53" w:name="_Toc175504949"/>
      <w:bookmarkStart w:id="54" w:name="_Toc26718931"/>
      <w:bookmarkStart w:id="55" w:name="_Toc13842"/>
      <w:bookmarkStart w:id="56" w:name="_Toc26986531"/>
      <w:r>
        <w:rPr>
          <w:rFonts w:hint="eastAsia"/>
        </w:rPr>
        <w:t>规范性引用文件</w:t>
      </w:r>
      <w:bookmarkEnd w:id="44"/>
      <w:bookmarkEnd w:id="45"/>
      <w:bookmarkEnd w:id="46"/>
      <w:bookmarkEnd w:id="47"/>
      <w:bookmarkEnd w:id="48"/>
      <w:bookmarkEnd w:id="49"/>
      <w:bookmarkEnd w:id="50"/>
      <w:bookmarkEnd w:id="51"/>
      <w:bookmarkEnd w:id="52"/>
      <w:bookmarkEnd w:id="53"/>
      <w:bookmarkEnd w:id="54"/>
      <w:bookmarkEnd w:id="55"/>
      <w:bookmarkEnd w:id="56"/>
    </w:p>
    <w:sdt>
      <w:sdtPr>
        <w:rPr>
          <w:rFonts w:hint="eastAsia"/>
        </w:rPr>
        <w:id w:val="715848253"/>
        <w:placeholder>
          <w:docPart w:val="3267E5435CC342B69A223FBF74D5B42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3DD78AE">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26B97DB">
      <w:pPr>
        <w:pStyle w:val="59"/>
        <w:ind w:firstLine="420"/>
      </w:pPr>
      <w:r>
        <w:rPr>
          <w:rFonts w:hint="eastAsia"/>
        </w:rPr>
        <w:t>GB 1535 大豆油</w:t>
      </w:r>
    </w:p>
    <w:p w14:paraId="24AD94F0">
      <w:pPr>
        <w:pStyle w:val="59"/>
        <w:ind w:firstLine="420"/>
      </w:pPr>
      <w:r>
        <w:rPr>
          <w:rFonts w:hint="eastAsia"/>
        </w:rPr>
        <w:t>GB/T 14189  纤维级聚酯切片(PET)</w:t>
      </w:r>
    </w:p>
    <w:p w14:paraId="32376FB7">
      <w:pPr>
        <w:pStyle w:val="59"/>
        <w:ind w:firstLine="420"/>
      </w:pPr>
      <w:r>
        <w:rPr>
          <w:rFonts w:hint="eastAsia"/>
        </w:rPr>
        <w:t>GB/T 28296  含镍生铁</w:t>
      </w:r>
    </w:p>
    <w:p w14:paraId="13C57F9F">
      <w:pPr>
        <w:pStyle w:val="59"/>
        <w:ind w:firstLine="420"/>
      </w:pPr>
      <w:r>
        <w:rPr>
          <w:rFonts w:hint="eastAsia"/>
        </w:rPr>
        <w:t>GB 28662  钢铁烧结、球团工业大气污染物排放标准</w:t>
      </w:r>
    </w:p>
    <w:p w14:paraId="1ABDBCD3">
      <w:pPr>
        <w:pStyle w:val="59"/>
        <w:ind w:firstLine="420"/>
      </w:pPr>
      <w:r>
        <w:rPr>
          <w:rFonts w:hint="eastAsia"/>
        </w:rPr>
        <w:t>DB32/T 2061  单位能耗限额统计范围和计算方法</w:t>
      </w:r>
    </w:p>
    <w:p w14:paraId="7C0197C1">
      <w:pPr>
        <w:pStyle w:val="107"/>
        <w:spacing w:before="312" w:after="312"/>
      </w:pPr>
      <w:bookmarkStart w:id="57" w:name="_Toc26633"/>
      <w:bookmarkStart w:id="58" w:name="_Toc15851"/>
      <w:bookmarkStart w:id="59" w:name="_Toc175690936"/>
      <w:bookmarkStart w:id="60" w:name="_Toc175504950"/>
      <w:bookmarkStart w:id="61" w:name="_Toc2680"/>
      <w:r>
        <w:rPr>
          <w:rFonts w:hint="eastAsia"/>
          <w:szCs w:val="21"/>
        </w:rPr>
        <w:t>术语和定义</w:t>
      </w:r>
      <w:bookmarkEnd w:id="57"/>
      <w:bookmarkEnd w:id="58"/>
      <w:bookmarkEnd w:id="59"/>
      <w:bookmarkEnd w:id="60"/>
      <w:bookmarkEnd w:id="61"/>
    </w:p>
    <w:sdt>
      <w:sdtPr>
        <w:id w:val="-1909835108"/>
        <w:placeholder>
          <w:docPart w:val="660D5298C5954E8DBD85602634841FD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427D4A7">
          <w:pPr>
            <w:pStyle w:val="59"/>
            <w:ind w:firstLine="420"/>
          </w:pPr>
          <w:bookmarkStart w:id="62" w:name="_Toc26986532"/>
          <w:bookmarkEnd w:id="62"/>
          <w:r>
            <w:rPr>
              <w:rFonts w:hint="eastAsia"/>
            </w:rPr>
            <w:t>GB/T 14189、GB/T 28296</w:t>
          </w:r>
          <w:r>
            <w:t>界定的以及下列术语和定义适用于本文件。</w:t>
          </w:r>
        </w:p>
      </w:sdtContent>
    </w:sdt>
    <w:p w14:paraId="6715E927">
      <w:pPr>
        <w:pStyle w:val="226"/>
        <w:ind w:left="420" w:hanging="420" w:hangingChars="200"/>
        <w:rPr>
          <w:rFonts w:hint="eastAsia" w:ascii="黑体" w:hAnsi="黑体" w:eastAsia="黑体"/>
        </w:rPr>
      </w:pPr>
      <w:bookmarkStart w:id="63" w:name="_Toc496880932"/>
      <w:bookmarkStart w:id="64" w:name="_Toc483398219"/>
      <w:bookmarkStart w:id="65" w:name="_Toc483588620"/>
      <w:bookmarkStart w:id="66" w:name="_Toc483588084"/>
      <w:bookmarkStart w:id="67" w:name="_Toc502760399"/>
      <w:bookmarkStart w:id="68" w:name="_Toc483578591"/>
      <w:bookmarkStart w:id="69" w:name="_Toc492372369"/>
      <w:bookmarkStart w:id="70" w:name="_Toc496771198"/>
      <w:bookmarkStart w:id="71" w:name="_Toc492372514"/>
      <w:r>
        <w:rPr>
          <w:rFonts w:ascii="黑体" w:hAnsi="黑体" w:eastAsia="黑体"/>
        </w:rPr>
        <w:br w:type="textWrapping"/>
      </w:r>
      <w:r>
        <w:rPr>
          <w:rFonts w:hint="eastAsia" w:ascii="黑体" w:hAnsi="黑体" w:eastAsia="黑体"/>
        </w:rPr>
        <w:t xml:space="preserve">统计报告期  </w:t>
      </w:r>
      <w:r>
        <w:rPr>
          <w:rFonts w:ascii="黑体" w:hAnsi="黑体" w:eastAsia="黑体"/>
        </w:rPr>
        <w:t>reporting period</w:t>
      </w:r>
      <w:bookmarkEnd w:id="63"/>
      <w:bookmarkEnd w:id="64"/>
      <w:bookmarkEnd w:id="65"/>
      <w:bookmarkEnd w:id="66"/>
      <w:bookmarkEnd w:id="67"/>
      <w:bookmarkEnd w:id="68"/>
      <w:bookmarkEnd w:id="69"/>
      <w:bookmarkEnd w:id="70"/>
      <w:bookmarkEnd w:id="71"/>
    </w:p>
    <w:p w14:paraId="4E9E58E1">
      <w:pPr>
        <w:pStyle w:val="59"/>
        <w:ind w:firstLine="420"/>
      </w:pPr>
      <w:r>
        <w:rPr>
          <w:rFonts w:hint="eastAsia"/>
        </w:rPr>
        <w:t>是计算动态分析指标时，需要说明其变化状态的时期，本文件中统计报告期一般为一年。</w:t>
      </w:r>
    </w:p>
    <w:p w14:paraId="2BC4962B">
      <w:pPr>
        <w:pStyle w:val="226"/>
        <w:ind w:left="420" w:hanging="420" w:hangingChars="200"/>
        <w:rPr>
          <w:rFonts w:hint="eastAsia" w:ascii="黑体" w:hAnsi="黑体" w:eastAsia="黑体"/>
        </w:rPr>
      </w:pPr>
      <w:bookmarkStart w:id="72" w:name="_Toc496880934"/>
      <w:bookmarkStart w:id="73" w:name="_Toc492372516"/>
      <w:bookmarkStart w:id="74" w:name="_Toc492372371"/>
      <w:bookmarkStart w:id="75" w:name="_Toc502760401"/>
      <w:bookmarkStart w:id="76" w:name="_Toc483588086"/>
      <w:bookmarkStart w:id="77" w:name="_Toc483578593"/>
      <w:bookmarkStart w:id="78" w:name="_Toc483588622"/>
      <w:bookmarkStart w:id="79" w:name="_Toc496771200"/>
      <w:r>
        <w:rPr>
          <w:rFonts w:ascii="黑体" w:hAnsi="黑体" w:eastAsia="黑体"/>
        </w:rPr>
        <w:br w:type="textWrapping"/>
      </w:r>
      <w:r>
        <w:rPr>
          <w:rFonts w:hint="eastAsia" w:ascii="黑体" w:hAnsi="黑体" w:eastAsia="黑体"/>
        </w:rPr>
        <w:t>综合能耗  comprehensive energy consumption</w:t>
      </w:r>
      <w:bookmarkEnd w:id="72"/>
      <w:bookmarkEnd w:id="73"/>
      <w:bookmarkEnd w:id="74"/>
      <w:bookmarkEnd w:id="75"/>
      <w:bookmarkEnd w:id="76"/>
      <w:bookmarkEnd w:id="77"/>
      <w:bookmarkEnd w:id="78"/>
      <w:bookmarkEnd w:id="79"/>
    </w:p>
    <w:p w14:paraId="2FC1AEB6">
      <w:pPr>
        <w:pStyle w:val="59"/>
        <w:ind w:firstLine="420"/>
      </w:pPr>
      <w:r>
        <w:rPr>
          <w:rFonts w:hint="eastAsia"/>
        </w:rPr>
        <w:t>用能单位在统计报告期内实际消耗的各种能源实物量，按规定的计算方法和单位分别折算后的总和。</w:t>
      </w:r>
    </w:p>
    <w:p w14:paraId="345853B6">
      <w:pPr>
        <w:pStyle w:val="59"/>
        <w:ind w:firstLine="420"/>
      </w:pPr>
      <w:r>
        <w:rPr>
          <w:rFonts w:hint="eastAsia"/>
        </w:rPr>
        <w:t>对企业，综合能耗是指统计报告期内，主要生产系统、辅助生产系统和附属生产系统的综合能耗总和。企业中主要生产系统的能耗量应以实测为准。</w:t>
      </w:r>
    </w:p>
    <w:p w14:paraId="3B902D8E">
      <w:pPr>
        <w:pStyle w:val="182"/>
      </w:pPr>
      <w:r>
        <w:rPr>
          <w:rFonts w:hint="eastAsia"/>
        </w:rPr>
        <w:t>生产过程中余热、余能回收利用的能量，用于本系统时，不计入能源消耗量中；向界区外输出时，计入向外输出能量。余热、余能回收利用装置本身的用能计入产品综合能耗。</w:t>
      </w:r>
    </w:p>
    <w:p w14:paraId="25308285">
      <w:pPr>
        <w:pStyle w:val="226"/>
        <w:ind w:left="420" w:hanging="420" w:hangingChars="200"/>
        <w:rPr>
          <w:rFonts w:hint="eastAsia" w:ascii="黑体" w:hAnsi="黑体" w:eastAsia="黑体"/>
        </w:rPr>
      </w:pPr>
      <w:bookmarkStart w:id="80" w:name="_Toc483588624"/>
      <w:bookmarkStart w:id="81" w:name="_Toc492372373"/>
      <w:bookmarkStart w:id="82" w:name="_Toc483588088"/>
      <w:bookmarkStart w:id="83" w:name="_Toc496771202"/>
      <w:bookmarkStart w:id="84" w:name="_Toc492372518"/>
      <w:bookmarkStart w:id="85" w:name="_Toc502760403"/>
      <w:bookmarkStart w:id="86" w:name="_Toc496880936"/>
      <w:bookmarkStart w:id="87" w:name="_Toc483578595"/>
      <w:r>
        <w:rPr>
          <w:rFonts w:ascii="黑体" w:hAnsi="黑体" w:eastAsia="黑体"/>
        </w:rPr>
        <w:br w:type="textWrapping"/>
      </w:r>
      <w:r>
        <w:rPr>
          <w:rFonts w:hint="eastAsia" w:ascii="黑体" w:hAnsi="黑体" w:eastAsia="黑体"/>
        </w:rPr>
        <w:t>单位产品综合能耗  comprehensive energy consumption for unit output of product</w:t>
      </w:r>
      <w:bookmarkEnd w:id="80"/>
      <w:bookmarkEnd w:id="81"/>
      <w:bookmarkEnd w:id="82"/>
      <w:bookmarkEnd w:id="83"/>
      <w:bookmarkEnd w:id="84"/>
      <w:bookmarkEnd w:id="85"/>
      <w:bookmarkEnd w:id="86"/>
      <w:bookmarkEnd w:id="87"/>
    </w:p>
    <w:p w14:paraId="510BEB4D">
      <w:pPr>
        <w:pStyle w:val="59"/>
        <w:ind w:firstLine="420"/>
      </w:pPr>
      <w:r>
        <w:rPr>
          <w:rFonts w:hint="eastAsia"/>
        </w:rPr>
        <w:t>统计报告期内，综合能耗与合格产品产量（工作量、服务量）的比值。</w:t>
      </w:r>
    </w:p>
    <w:p w14:paraId="514ED1A6">
      <w:pPr>
        <w:pStyle w:val="183"/>
      </w:pPr>
      <w:r>
        <w:rPr>
          <w:rFonts w:hint="eastAsia"/>
        </w:rPr>
        <w:t>产品是指合格的最终产品或中间产品。</w:t>
      </w:r>
    </w:p>
    <w:p w14:paraId="57CD9DA0">
      <w:pPr>
        <w:pStyle w:val="183"/>
      </w:pPr>
      <w:r>
        <w:rPr>
          <w:rFonts w:hint="eastAsia"/>
        </w:rPr>
        <w:t>对以原材料加工等作业量为能耗考核对象的用能单位，其单位作业量综合能耗的概念也包括在本定义之内。</w:t>
      </w:r>
    </w:p>
    <w:p w14:paraId="0624F88B">
      <w:pPr>
        <w:pStyle w:val="183"/>
      </w:pPr>
      <w:r>
        <w:rPr>
          <w:rFonts w:hint="eastAsia"/>
        </w:rPr>
        <w:t>单位产品综合能耗单位根据产品产量（作业量、工作量、服务量）量纲不同可包括：千克标准煤每千克（kgce/kg）、千克标准煤每立方米（kgce/m</w:t>
      </w:r>
      <w:r>
        <w:rPr>
          <w:rFonts w:hint="eastAsia"/>
          <w:vertAlign w:val="superscript"/>
        </w:rPr>
        <w:t>3</w:t>
      </w:r>
      <w:r>
        <w:rPr>
          <w:rFonts w:hint="eastAsia"/>
        </w:rPr>
        <w:t>）等。</w:t>
      </w:r>
    </w:p>
    <w:p w14:paraId="535F91CF">
      <w:pPr>
        <w:pStyle w:val="183"/>
        <w:spacing w:before="48"/>
      </w:pPr>
      <w:r>
        <w:rPr>
          <w:rFonts w:hint="eastAsia"/>
        </w:rPr>
        <w:t>本文件中单位能耗亦指单位产品综合能耗。</w:t>
      </w:r>
    </w:p>
    <w:p w14:paraId="14699D93">
      <w:pPr>
        <w:pStyle w:val="59"/>
        <w:ind w:firstLine="420"/>
      </w:pPr>
      <w:r>
        <w:rPr>
          <w:rFonts w:hint="eastAsia"/>
        </w:rPr>
        <w:t>[来源：GB/T 2589—2020，3.7]</w:t>
      </w:r>
    </w:p>
    <w:p w14:paraId="32CECF0B">
      <w:pPr>
        <w:pStyle w:val="226"/>
        <w:ind w:left="420" w:hanging="420" w:hangingChars="200"/>
        <w:rPr>
          <w:rFonts w:hint="eastAsia" w:ascii="黑体" w:hAnsi="黑体" w:eastAsia="黑体"/>
        </w:rPr>
      </w:pPr>
      <w:bookmarkStart w:id="88" w:name="_Toc502760407"/>
      <w:bookmarkStart w:id="89" w:name="_Toc496880940"/>
      <w:bookmarkStart w:id="90" w:name="_Toc492372377"/>
      <w:bookmarkStart w:id="91" w:name="_Toc483588092"/>
      <w:bookmarkStart w:id="92" w:name="_Toc483578599"/>
      <w:bookmarkStart w:id="93" w:name="_Toc492372522"/>
      <w:bookmarkStart w:id="94" w:name="_Toc483588628"/>
      <w:bookmarkStart w:id="95" w:name="_Toc496771206"/>
      <w:r>
        <w:rPr>
          <w:rFonts w:hint="eastAsia" w:ascii="黑体" w:hAnsi="黑体" w:eastAsia="黑体"/>
        </w:rPr>
        <w:br w:type="textWrapping"/>
      </w:r>
      <w:r>
        <w:rPr>
          <w:rFonts w:hint="eastAsia" w:ascii="黑体" w:hAnsi="黑体" w:eastAsia="黑体"/>
        </w:rPr>
        <w:t xml:space="preserve">单位产品可比综合能耗 </w:t>
      </w:r>
      <w:r>
        <w:rPr>
          <w:rFonts w:ascii="黑体" w:hAnsi="黑体" w:eastAsia="黑体"/>
        </w:rPr>
        <w:t>c</w:t>
      </w:r>
      <w:r>
        <w:rPr>
          <w:rFonts w:hint="eastAsia" w:ascii="黑体" w:hAnsi="黑体" w:eastAsia="黑体"/>
        </w:rPr>
        <w:t>omparable comprehensive energy consumption per unit product</w:t>
      </w:r>
    </w:p>
    <w:p w14:paraId="42E9AD24">
      <w:pPr>
        <w:pStyle w:val="59"/>
        <w:ind w:firstLine="420"/>
      </w:pPr>
      <w:r>
        <w:rPr>
          <w:rFonts w:hint="eastAsia"/>
        </w:rPr>
        <w:t>统计期内产品综合能耗与同期产品标准品总产量的比值，单位为千克标准煤/单位标准品。</w:t>
      </w:r>
    </w:p>
    <w:p w14:paraId="19A4173F">
      <w:pPr>
        <w:pStyle w:val="226"/>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大豆压榨工序  soybean oil squeezing process</w:t>
      </w:r>
      <w:bookmarkEnd w:id="88"/>
      <w:bookmarkEnd w:id="89"/>
      <w:bookmarkEnd w:id="90"/>
      <w:bookmarkEnd w:id="91"/>
      <w:bookmarkEnd w:id="92"/>
      <w:bookmarkEnd w:id="93"/>
      <w:bookmarkEnd w:id="94"/>
      <w:bookmarkEnd w:id="95"/>
    </w:p>
    <w:p w14:paraId="471C8535">
      <w:pPr>
        <w:pStyle w:val="59"/>
        <w:ind w:firstLine="420"/>
      </w:pPr>
      <w:r>
        <w:rPr>
          <w:rFonts w:hint="eastAsia"/>
        </w:rPr>
        <w:t>大豆进入工厂储存经预处理，利用溶剂浸出制取大豆原油和大豆粕的过程。</w:t>
      </w:r>
    </w:p>
    <w:p w14:paraId="2C2F1A5F">
      <w:pPr>
        <w:pStyle w:val="226"/>
        <w:ind w:left="420" w:hanging="420" w:hangingChars="200"/>
        <w:rPr>
          <w:rFonts w:hint="eastAsia" w:ascii="黑体" w:hAnsi="黑体" w:eastAsia="黑体"/>
        </w:rPr>
      </w:pPr>
      <w:bookmarkStart w:id="96" w:name="_Toc492372379"/>
      <w:bookmarkStart w:id="97" w:name="_Toc496771208"/>
      <w:bookmarkStart w:id="98" w:name="_Toc483588630"/>
      <w:bookmarkStart w:id="99" w:name="_Toc483578601"/>
      <w:bookmarkStart w:id="100" w:name="_Toc483588094"/>
      <w:bookmarkStart w:id="101" w:name="_Toc496880942"/>
      <w:bookmarkStart w:id="102" w:name="_Toc502760409"/>
      <w:bookmarkStart w:id="103" w:name="_Toc492372524"/>
      <w:r>
        <w:rPr>
          <w:rFonts w:ascii="黑体" w:hAnsi="黑体" w:eastAsia="黑体"/>
        </w:rPr>
        <w:br w:type="textWrapping"/>
      </w:r>
      <w:r>
        <w:rPr>
          <w:rFonts w:hint="eastAsia" w:ascii="黑体" w:hAnsi="黑体" w:eastAsia="黑体"/>
        </w:rPr>
        <w:t>大豆油精炼工序  soybean oil refining process</w:t>
      </w:r>
      <w:bookmarkEnd w:id="96"/>
      <w:bookmarkEnd w:id="97"/>
      <w:bookmarkEnd w:id="98"/>
      <w:bookmarkEnd w:id="99"/>
      <w:bookmarkEnd w:id="100"/>
      <w:bookmarkEnd w:id="101"/>
      <w:bookmarkEnd w:id="102"/>
      <w:bookmarkEnd w:id="103"/>
    </w:p>
    <w:p w14:paraId="2613795E">
      <w:pPr>
        <w:pStyle w:val="59"/>
        <w:ind w:firstLine="420"/>
      </w:pPr>
      <w:r>
        <w:rPr>
          <w:rFonts w:hint="eastAsia"/>
        </w:rPr>
        <w:t>大豆原油经过脱胶、脱皂、脱色和脱臭等工序去除其中少量蛋白质、磷脂、游离脂肪酸和部分氧化物，从而制取符合GB 1535要求的合格一级油产品的过程。</w:t>
      </w:r>
    </w:p>
    <w:p w14:paraId="5423D03B">
      <w:pPr>
        <w:pStyle w:val="226"/>
        <w:ind w:left="420" w:hanging="420" w:hangingChars="200"/>
        <w:rPr>
          <w:rFonts w:hint="eastAsia" w:ascii="黑体" w:hAnsi="黑体" w:eastAsia="黑体"/>
        </w:rPr>
      </w:pPr>
      <w:bookmarkStart w:id="104" w:name="_Toc483588632"/>
      <w:bookmarkStart w:id="105" w:name="_Toc502760411"/>
      <w:bookmarkStart w:id="106" w:name="_Toc496771210"/>
      <w:bookmarkStart w:id="107" w:name="_Toc483588096"/>
      <w:bookmarkStart w:id="108" w:name="_Toc492372526"/>
      <w:bookmarkStart w:id="109" w:name="_Toc483578603"/>
      <w:bookmarkStart w:id="110" w:name="_Toc496880944"/>
      <w:bookmarkStart w:id="111" w:name="_Toc492372381"/>
      <w:r>
        <w:rPr>
          <w:rFonts w:ascii="黑体" w:hAnsi="黑体" w:eastAsia="黑体"/>
        </w:rPr>
        <w:br w:type="textWrapping"/>
      </w:r>
      <w:r>
        <w:rPr>
          <w:rFonts w:hint="eastAsia" w:ascii="黑体" w:hAnsi="黑体" w:eastAsia="黑体"/>
        </w:rPr>
        <w:t>浓香型白酒  strong flavour Chinese spirit</w:t>
      </w:r>
      <w:bookmarkEnd w:id="104"/>
      <w:bookmarkEnd w:id="105"/>
      <w:bookmarkEnd w:id="106"/>
      <w:bookmarkEnd w:id="107"/>
      <w:bookmarkEnd w:id="108"/>
      <w:bookmarkEnd w:id="109"/>
      <w:bookmarkEnd w:id="110"/>
      <w:bookmarkEnd w:id="111"/>
    </w:p>
    <w:p w14:paraId="7CF85367">
      <w:pPr>
        <w:pStyle w:val="59"/>
        <w:ind w:firstLine="420"/>
      </w:pPr>
      <w:r>
        <w:rPr>
          <w:rFonts w:hint="eastAsia"/>
        </w:rPr>
        <w:t>以粮谷为原料，经传统固态发酵、蒸馏、陈酿、勾兑而成的，未添加食用酒精及非白酒发酵产生的呈香呈味物质，具有以己酸乙酯为主体复合香的白酒。</w:t>
      </w:r>
    </w:p>
    <w:p w14:paraId="5DA48CCE">
      <w:pPr>
        <w:pStyle w:val="226"/>
        <w:ind w:left="420" w:hanging="420" w:hangingChars="200"/>
        <w:rPr>
          <w:rFonts w:hint="eastAsia" w:ascii="黑体" w:hAnsi="黑体" w:eastAsia="黑体"/>
        </w:rPr>
      </w:pPr>
      <w:bookmarkStart w:id="112" w:name="_Toc502760413"/>
      <w:bookmarkStart w:id="113" w:name="_Toc492372528"/>
      <w:bookmarkStart w:id="114" w:name="_Toc492372383"/>
      <w:bookmarkStart w:id="115" w:name="_Toc496771212"/>
      <w:bookmarkStart w:id="116" w:name="_Toc483588634"/>
      <w:bookmarkStart w:id="117" w:name="_Toc496880946"/>
      <w:bookmarkStart w:id="118" w:name="_Toc483578605"/>
      <w:bookmarkStart w:id="119" w:name="_Toc483588098"/>
      <w:r>
        <w:rPr>
          <w:rFonts w:ascii="黑体" w:hAnsi="黑体" w:eastAsia="黑体"/>
        </w:rPr>
        <w:br w:type="textWrapping"/>
      </w:r>
      <w:r>
        <w:rPr>
          <w:rFonts w:hint="eastAsia" w:ascii="黑体" w:hAnsi="黑体" w:eastAsia="黑体"/>
        </w:rPr>
        <w:t>芝麻香型白酒  zhima-flavour Chinese spirit</w:t>
      </w:r>
      <w:bookmarkEnd w:id="112"/>
      <w:bookmarkEnd w:id="113"/>
      <w:bookmarkEnd w:id="114"/>
      <w:bookmarkEnd w:id="115"/>
      <w:bookmarkEnd w:id="116"/>
      <w:bookmarkEnd w:id="117"/>
      <w:bookmarkEnd w:id="118"/>
      <w:bookmarkEnd w:id="119"/>
    </w:p>
    <w:p w14:paraId="0CBA9461">
      <w:pPr>
        <w:pStyle w:val="59"/>
        <w:ind w:firstLine="420"/>
      </w:pPr>
      <w:r>
        <w:rPr>
          <w:rFonts w:hint="eastAsia"/>
        </w:rPr>
        <w:t>以高粱、小麦（麦麸）等为原料，经传统固态发酵、蒸馏、陈酿、勾兑而成的，未添加食用酒精及非白酒发酵产生的呈香呈味物质，具有芝麻香型风格的白酒。</w:t>
      </w:r>
    </w:p>
    <w:p w14:paraId="6CDB0309">
      <w:pPr>
        <w:pStyle w:val="226"/>
        <w:ind w:left="420" w:hanging="420" w:hangingChars="200"/>
        <w:rPr>
          <w:rFonts w:hint="eastAsia" w:ascii="黑体" w:hAnsi="黑体" w:eastAsia="黑体"/>
        </w:rPr>
      </w:pPr>
      <w:bookmarkStart w:id="120" w:name="_Toc496771214"/>
      <w:bookmarkStart w:id="121" w:name="_Toc483578613"/>
      <w:bookmarkStart w:id="122" w:name="_Toc483588642"/>
      <w:bookmarkStart w:id="123" w:name="_Toc502760415"/>
      <w:bookmarkStart w:id="124" w:name="_Toc492372385"/>
      <w:bookmarkStart w:id="125" w:name="_Toc496880948"/>
      <w:bookmarkStart w:id="126" w:name="_Toc483588106"/>
      <w:bookmarkStart w:id="127" w:name="_Toc492372530"/>
      <w:r>
        <w:rPr>
          <w:rFonts w:ascii="黑体" w:hAnsi="黑体" w:eastAsia="黑体"/>
        </w:rPr>
        <w:br w:type="textWrapping"/>
      </w:r>
      <w:r>
        <w:rPr>
          <w:rFonts w:hint="eastAsia" w:ascii="黑体" w:hAnsi="黑体" w:eastAsia="黑体"/>
        </w:rPr>
        <w:t xml:space="preserve">纤维板 </w:t>
      </w:r>
      <w:r>
        <w:rPr>
          <w:rFonts w:ascii="黑体" w:hAnsi="黑体" w:eastAsia="黑体"/>
        </w:rPr>
        <w:t xml:space="preserve"> fibreboard</w:t>
      </w:r>
      <w:bookmarkEnd w:id="120"/>
      <w:bookmarkEnd w:id="121"/>
      <w:bookmarkEnd w:id="122"/>
      <w:bookmarkEnd w:id="123"/>
      <w:bookmarkEnd w:id="124"/>
      <w:bookmarkEnd w:id="125"/>
      <w:bookmarkEnd w:id="126"/>
      <w:bookmarkEnd w:id="127"/>
    </w:p>
    <w:p w14:paraId="29105A25">
      <w:pPr>
        <w:pStyle w:val="59"/>
        <w:ind w:firstLine="420"/>
      </w:pPr>
      <w:r>
        <w:rPr>
          <w:rFonts w:hint="eastAsia"/>
        </w:rPr>
        <w:t>以木质纤维或其他植物纤维为主要原料，经纤维制备，施加合成树脂，在加热加压条件下压制成的板材。按照密度的不同分为高密度、中密度和低密度纤维板。</w:t>
      </w:r>
    </w:p>
    <w:p w14:paraId="735F0A3D">
      <w:pPr>
        <w:pStyle w:val="226"/>
        <w:ind w:left="420" w:hanging="420" w:hangingChars="200"/>
        <w:rPr>
          <w:rFonts w:hint="eastAsia" w:ascii="黑体" w:hAnsi="黑体" w:eastAsia="黑体"/>
        </w:rPr>
      </w:pPr>
      <w:bookmarkStart w:id="128" w:name="_Toc483588108"/>
      <w:bookmarkStart w:id="129" w:name="_Toc492372387"/>
      <w:bookmarkStart w:id="130" w:name="_Toc483578615"/>
      <w:bookmarkStart w:id="131" w:name="_Toc502760417"/>
      <w:bookmarkStart w:id="132" w:name="_Toc496771216"/>
      <w:bookmarkStart w:id="133" w:name="_Toc483588644"/>
      <w:bookmarkStart w:id="134" w:name="_Toc496880950"/>
      <w:bookmarkStart w:id="135" w:name="_Toc492372532"/>
      <w:r>
        <w:rPr>
          <w:rFonts w:ascii="黑体" w:hAnsi="黑体" w:eastAsia="黑体"/>
        </w:rPr>
        <w:br w:type="textWrapping"/>
      </w:r>
      <w:r>
        <w:rPr>
          <w:rFonts w:hint="eastAsia" w:ascii="黑体" w:hAnsi="黑体" w:eastAsia="黑体"/>
        </w:rPr>
        <w:t xml:space="preserve">纸浆  </w:t>
      </w:r>
      <w:r>
        <w:rPr>
          <w:rFonts w:ascii="黑体" w:hAnsi="黑体" w:eastAsia="黑体"/>
        </w:rPr>
        <w:t>pulp</w:t>
      </w:r>
      <w:bookmarkEnd w:id="128"/>
      <w:bookmarkEnd w:id="129"/>
      <w:bookmarkEnd w:id="130"/>
      <w:bookmarkEnd w:id="131"/>
      <w:bookmarkEnd w:id="132"/>
      <w:bookmarkEnd w:id="133"/>
      <w:bookmarkEnd w:id="134"/>
      <w:bookmarkEnd w:id="135"/>
    </w:p>
    <w:p w14:paraId="2018CD55">
      <w:pPr>
        <w:pStyle w:val="59"/>
        <w:ind w:firstLine="420"/>
      </w:pPr>
      <w:r>
        <w:rPr>
          <w:rFonts w:hint="eastAsia"/>
        </w:rPr>
        <w:t>漂泊化学草木混合浆、漂白化学木浆、漂白化学机械木浆、废纸脱墨浆等浆种。</w:t>
      </w:r>
    </w:p>
    <w:p w14:paraId="728A036D">
      <w:pPr>
        <w:pStyle w:val="226"/>
        <w:ind w:left="420" w:hanging="420" w:hangingChars="200"/>
        <w:rPr>
          <w:rFonts w:hint="eastAsia" w:ascii="黑体" w:hAnsi="黑体" w:eastAsia="黑体"/>
        </w:rPr>
      </w:pPr>
      <w:bookmarkStart w:id="136" w:name="_Toc492372389"/>
      <w:bookmarkStart w:id="137" w:name="_Toc483588646"/>
      <w:bookmarkStart w:id="138" w:name="_Toc496880952"/>
      <w:bookmarkStart w:id="139" w:name="_Toc483578617"/>
      <w:bookmarkStart w:id="140" w:name="_Toc496771218"/>
      <w:bookmarkStart w:id="141" w:name="_Toc492372534"/>
      <w:bookmarkStart w:id="142" w:name="_Toc502760419"/>
      <w:bookmarkStart w:id="143" w:name="_Toc483588110"/>
      <w:r>
        <w:rPr>
          <w:rFonts w:ascii="黑体" w:hAnsi="黑体" w:eastAsia="黑体"/>
        </w:rPr>
        <w:br w:type="textWrapping"/>
      </w:r>
      <w:r>
        <w:rPr>
          <w:rFonts w:hint="eastAsia" w:ascii="黑体" w:hAnsi="黑体" w:eastAsia="黑体"/>
        </w:rPr>
        <w:t>书写印刷用纸  w</w:t>
      </w:r>
      <w:r>
        <w:rPr>
          <w:rFonts w:ascii="黑体" w:hAnsi="黑体" w:eastAsia="黑体"/>
        </w:rPr>
        <w:t>riting and printing paper</w:t>
      </w:r>
      <w:bookmarkEnd w:id="136"/>
      <w:bookmarkEnd w:id="137"/>
      <w:bookmarkEnd w:id="138"/>
      <w:bookmarkEnd w:id="139"/>
      <w:bookmarkEnd w:id="140"/>
      <w:bookmarkEnd w:id="141"/>
      <w:bookmarkEnd w:id="142"/>
      <w:bookmarkEnd w:id="143"/>
    </w:p>
    <w:p w14:paraId="33B26CBA">
      <w:pPr>
        <w:pStyle w:val="59"/>
        <w:ind w:firstLine="420"/>
      </w:pPr>
      <w:r>
        <w:rPr>
          <w:rFonts w:hint="eastAsia"/>
        </w:rPr>
        <w:t>书写纸、胶版印刷纸、铜版纸、铜版原纸、轻量涂布纸、复印纸及复印纸原纸等书写、印刷用途纸种。</w:t>
      </w:r>
    </w:p>
    <w:p w14:paraId="5F01E66C">
      <w:pPr>
        <w:pStyle w:val="226"/>
        <w:ind w:left="420" w:hanging="420" w:hangingChars="200"/>
        <w:rPr>
          <w:rFonts w:hint="eastAsia" w:ascii="黑体" w:hAnsi="黑体" w:eastAsia="黑体"/>
        </w:rPr>
      </w:pPr>
      <w:bookmarkStart w:id="144" w:name="_Toc483588648"/>
      <w:bookmarkStart w:id="145" w:name="_Toc492372391"/>
      <w:bookmarkStart w:id="146" w:name="_Toc483588112"/>
      <w:bookmarkStart w:id="147" w:name="_Toc496771220"/>
      <w:bookmarkStart w:id="148" w:name="_Toc502760421"/>
      <w:bookmarkStart w:id="149" w:name="_Toc492372536"/>
      <w:bookmarkStart w:id="150" w:name="_Toc483578619"/>
      <w:bookmarkStart w:id="151" w:name="_Toc496880954"/>
      <w:r>
        <w:rPr>
          <w:rFonts w:ascii="黑体" w:hAnsi="黑体" w:eastAsia="黑体"/>
        </w:rPr>
        <w:br w:type="textWrapping"/>
      </w:r>
      <w:r>
        <w:rPr>
          <w:rFonts w:hint="eastAsia" w:ascii="黑体" w:hAnsi="黑体" w:eastAsia="黑体"/>
        </w:rPr>
        <w:t>生活用纸  tissue</w:t>
      </w:r>
      <w:r>
        <w:rPr>
          <w:rFonts w:ascii="黑体" w:hAnsi="黑体" w:eastAsia="黑体"/>
        </w:rPr>
        <w:t xml:space="preserve"> paper</w:t>
      </w:r>
      <w:bookmarkEnd w:id="144"/>
      <w:bookmarkEnd w:id="145"/>
      <w:bookmarkEnd w:id="146"/>
      <w:bookmarkEnd w:id="147"/>
      <w:bookmarkEnd w:id="148"/>
      <w:bookmarkEnd w:id="149"/>
      <w:bookmarkEnd w:id="150"/>
      <w:bookmarkEnd w:id="151"/>
    </w:p>
    <w:p w14:paraId="66F1A8AE">
      <w:pPr>
        <w:pStyle w:val="59"/>
        <w:ind w:firstLine="420"/>
      </w:pPr>
      <w:r>
        <w:rPr>
          <w:rFonts w:hint="eastAsia"/>
        </w:rPr>
        <w:t>卫生纸（含卫生纸原纸）、纸巾纸（含纸面巾、纸餐巾、擦手纸、厨房纸巾）等生活用途纸种。</w:t>
      </w:r>
    </w:p>
    <w:p w14:paraId="5FE1072E">
      <w:pPr>
        <w:pStyle w:val="226"/>
        <w:ind w:left="420" w:hanging="420" w:hangingChars="200"/>
        <w:rPr>
          <w:rFonts w:hint="eastAsia" w:ascii="黑体" w:hAnsi="黑体" w:eastAsia="黑体"/>
        </w:rPr>
      </w:pPr>
      <w:bookmarkStart w:id="152" w:name="_Toc483578621"/>
      <w:bookmarkStart w:id="153" w:name="_Toc496880956"/>
      <w:bookmarkStart w:id="154" w:name="_Toc492372538"/>
      <w:bookmarkStart w:id="155" w:name="_Toc496771222"/>
      <w:bookmarkStart w:id="156" w:name="_Toc502760423"/>
      <w:bookmarkStart w:id="157" w:name="_Toc483588114"/>
      <w:bookmarkStart w:id="158" w:name="_Toc492372393"/>
      <w:bookmarkStart w:id="159" w:name="_Toc483588650"/>
      <w:r>
        <w:rPr>
          <w:rFonts w:ascii="黑体" w:hAnsi="黑体" w:eastAsia="黑体"/>
        </w:rPr>
        <w:br w:type="textWrapping"/>
      </w:r>
      <w:r>
        <w:rPr>
          <w:rFonts w:hint="eastAsia" w:ascii="黑体" w:hAnsi="黑体" w:eastAsia="黑体"/>
        </w:rPr>
        <w:t>包装用纸和纸板  packaging paper and paperboard</w:t>
      </w:r>
      <w:bookmarkEnd w:id="152"/>
      <w:bookmarkEnd w:id="153"/>
      <w:bookmarkEnd w:id="154"/>
      <w:bookmarkEnd w:id="155"/>
      <w:bookmarkEnd w:id="156"/>
      <w:bookmarkEnd w:id="157"/>
      <w:bookmarkEnd w:id="158"/>
      <w:bookmarkEnd w:id="159"/>
    </w:p>
    <w:p w14:paraId="56DD6619">
      <w:pPr>
        <w:pStyle w:val="59"/>
        <w:ind w:firstLine="420"/>
      </w:pPr>
      <w:r>
        <w:rPr>
          <w:rFonts w:hint="eastAsia"/>
        </w:rPr>
        <w:t>涂布白纸板、瓦楞原纸、箱纸板、白卡纸、纸管原纸等包装用途纸种。</w:t>
      </w:r>
    </w:p>
    <w:p w14:paraId="06A2A6A0">
      <w:pPr>
        <w:pStyle w:val="226"/>
        <w:ind w:left="420" w:hanging="420" w:hangingChars="200"/>
        <w:rPr>
          <w:rFonts w:hint="eastAsia" w:ascii="黑体" w:hAnsi="黑体" w:eastAsia="黑体"/>
        </w:rPr>
      </w:pPr>
      <w:bookmarkStart w:id="160" w:name="_Toc483588116"/>
      <w:bookmarkStart w:id="161" w:name="_Toc483588652"/>
      <w:bookmarkStart w:id="162" w:name="_Toc496771224"/>
      <w:bookmarkStart w:id="163" w:name="_Toc502760425"/>
      <w:bookmarkStart w:id="164" w:name="_Toc496880958"/>
      <w:bookmarkStart w:id="165" w:name="_Toc483578623"/>
      <w:bookmarkStart w:id="166" w:name="_Toc492372540"/>
      <w:bookmarkStart w:id="167" w:name="_Toc492372395"/>
      <w:r>
        <w:rPr>
          <w:rFonts w:ascii="黑体" w:hAnsi="黑体" w:eastAsia="黑体"/>
        </w:rPr>
        <w:br w:type="textWrapping"/>
      </w:r>
      <w:r>
        <w:rPr>
          <w:rFonts w:hint="eastAsia" w:ascii="黑体" w:hAnsi="黑体" w:eastAsia="黑体"/>
        </w:rPr>
        <w:t xml:space="preserve">特种纸和纸板  </w:t>
      </w:r>
      <w:r>
        <w:rPr>
          <w:rFonts w:ascii="黑体" w:hAnsi="黑体" w:eastAsia="黑体"/>
        </w:rPr>
        <w:t>special paper and paperboard</w:t>
      </w:r>
      <w:bookmarkEnd w:id="160"/>
      <w:bookmarkEnd w:id="161"/>
      <w:bookmarkEnd w:id="162"/>
      <w:bookmarkEnd w:id="163"/>
      <w:bookmarkEnd w:id="164"/>
      <w:bookmarkEnd w:id="165"/>
      <w:bookmarkEnd w:id="166"/>
      <w:bookmarkEnd w:id="167"/>
    </w:p>
    <w:p w14:paraId="28DEFDED">
      <w:pPr>
        <w:pStyle w:val="59"/>
        <w:ind w:firstLine="420"/>
      </w:pPr>
      <w:r>
        <w:rPr>
          <w:rFonts w:hint="eastAsia"/>
        </w:rPr>
        <w:t>热敏纸、无碳复写纸、纸杯原纸、干式复写原纸、防伪税票纸、艺术原纸、薄型纸、鞋用纸板、蚊香纸板等特殊用途纸种。</w:t>
      </w:r>
    </w:p>
    <w:p w14:paraId="0DC0309D">
      <w:pPr>
        <w:pStyle w:val="226"/>
        <w:ind w:left="420" w:hanging="420" w:hangingChars="200"/>
        <w:rPr>
          <w:rFonts w:hint="eastAsia" w:ascii="黑体" w:hAnsi="黑体" w:eastAsia="黑体"/>
        </w:rPr>
      </w:pPr>
      <w:bookmarkStart w:id="168" w:name="_Toc483578633"/>
      <w:bookmarkStart w:id="169" w:name="_Toc483588126"/>
      <w:bookmarkStart w:id="170" w:name="_Toc492372546"/>
      <w:bookmarkStart w:id="171" w:name="_Toc502760431"/>
      <w:bookmarkStart w:id="172" w:name="_Toc483588662"/>
      <w:bookmarkStart w:id="173" w:name="_Toc496771230"/>
      <w:bookmarkStart w:id="174" w:name="_Toc492372401"/>
      <w:bookmarkStart w:id="175" w:name="_Toc496880964"/>
      <w:r>
        <w:rPr>
          <w:rFonts w:ascii="黑体" w:hAnsi="黑体" w:eastAsia="黑体"/>
        </w:rPr>
        <w:br w:type="textWrapping"/>
      </w:r>
      <w:r>
        <w:rPr>
          <w:rFonts w:hint="eastAsia" w:ascii="黑体" w:hAnsi="黑体" w:eastAsia="黑体"/>
        </w:rPr>
        <w:t>锦纶民用丝  nylon textile yarn</w:t>
      </w:r>
      <w:bookmarkEnd w:id="168"/>
      <w:bookmarkEnd w:id="169"/>
      <w:bookmarkEnd w:id="170"/>
      <w:bookmarkEnd w:id="171"/>
      <w:bookmarkEnd w:id="172"/>
      <w:bookmarkEnd w:id="173"/>
      <w:bookmarkEnd w:id="174"/>
      <w:bookmarkEnd w:id="175"/>
    </w:p>
    <w:p w14:paraId="21159D67">
      <w:pPr>
        <w:pStyle w:val="59"/>
        <w:ind w:firstLine="420"/>
      </w:pPr>
      <w:r>
        <w:rPr>
          <w:rFonts w:hint="eastAsia"/>
        </w:rPr>
        <w:t>线密度小于等于600 dtex的锦纶丝。</w:t>
      </w:r>
    </w:p>
    <w:p w14:paraId="55442BE5">
      <w:pPr>
        <w:pStyle w:val="226"/>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锦纶工业丝  nylon industrial yarn</w:t>
      </w:r>
    </w:p>
    <w:p w14:paraId="3354C1DD">
      <w:pPr>
        <w:pStyle w:val="59"/>
        <w:ind w:firstLine="420"/>
      </w:pPr>
      <w:r>
        <w:rPr>
          <w:rFonts w:hint="eastAsia"/>
        </w:rPr>
        <w:t>线密度大于600 dtex的锦纶丝。</w:t>
      </w:r>
    </w:p>
    <w:p w14:paraId="559E14AC">
      <w:pPr>
        <w:pStyle w:val="226"/>
        <w:ind w:left="420" w:hanging="420" w:hangingChars="200"/>
        <w:rPr>
          <w:rFonts w:hint="eastAsia" w:ascii="黑体" w:hAnsi="黑体" w:eastAsia="黑体"/>
        </w:rPr>
      </w:pPr>
      <w:bookmarkStart w:id="176" w:name="_Toc502760447"/>
      <w:bookmarkStart w:id="177" w:name="_Toc483588682"/>
      <w:bookmarkStart w:id="178" w:name="_Toc492372562"/>
      <w:bookmarkStart w:id="179" w:name="_Toc483588146"/>
      <w:bookmarkStart w:id="180" w:name="_Toc483578653"/>
      <w:bookmarkStart w:id="181" w:name="_Toc492372417"/>
      <w:bookmarkStart w:id="182" w:name="_Toc496880980"/>
      <w:bookmarkStart w:id="183" w:name="_Toc496771246"/>
      <w:r>
        <w:rPr>
          <w:rFonts w:ascii="黑体" w:hAnsi="黑体" w:eastAsia="黑体"/>
        </w:rPr>
        <w:br w:type="textWrapping"/>
      </w:r>
      <w:r>
        <w:rPr>
          <w:rFonts w:hint="eastAsia" w:ascii="黑体" w:hAnsi="黑体" w:eastAsia="黑体"/>
        </w:rPr>
        <w:t>动力类铅酸蓄电池  dynamic type lead-acid battery</w:t>
      </w:r>
      <w:bookmarkEnd w:id="176"/>
      <w:bookmarkEnd w:id="177"/>
      <w:bookmarkEnd w:id="178"/>
      <w:bookmarkEnd w:id="179"/>
      <w:bookmarkEnd w:id="180"/>
      <w:bookmarkEnd w:id="181"/>
      <w:bookmarkEnd w:id="182"/>
      <w:bookmarkEnd w:id="183"/>
    </w:p>
    <w:p w14:paraId="2C8BFF13">
      <w:pPr>
        <w:pStyle w:val="59"/>
        <w:ind w:firstLine="420"/>
      </w:pPr>
      <w:r>
        <w:rPr>
          <w:rFonts w:hint="eastAsia"/>
        </w:rPr>
        <w:t>作为电动自行车和其他电动车、电动工具、牵引等设备的动力源并循环使用的铅酸蓄电池。</w:t>
      </w:r>
    </w:p>
    <w:p w14:paraId="11C547A8">
      <w:pPr>
        <w:pStyle w:val="226"/>
        <w:ind w:left="420" w:hanging="420" w:hangingChars="200"/>
        <w:rPr>
          <w:rFonts w:hint="eastAsia" w:ascii="黑体" w:hAnsi="黑体" w:eastAsia="黑体"/>
        </w:rPr>
      </w:pPr>
      <w:bookmarkStart w:id="184" w:name="_Toc496880982"/>
      <w:bookmarkStart w:id="185" w:name="_Toc496771248"/>
      <w:bookmarkStart w:id="186" w:name="_Toc502760449"/>
      <w:bookmarkStart w:id="187" w:name="_Toc492372419"/>
      <w:bookmarkStart w:id="188" w:name="_Toc492372564"/>
      <w:r>
        <w:rPr>
          <w:rFonts w:ascii="黑体" w:hAnsi="黑体" w:eastAsia="黑体"/>
        </w:rPr>
        <w:br w:type="textWrapping"/>
      </w:r>
      <w:r>
        <w:rPr>
          <w:rFonts w:hint="eastAsia" w:ascii="黑体" w:hAnsi="黑体" w:eastAsia="黑体"/>
        </w:rPr>
        <w:t xml:space="preserve">传统单面印制电路板  </w:t>
      </w:r>
      <w:r>
        <w:rPr>
          <w:rFonts w:ascii="黑体" w:hAnsi="黑体" w:eastAsia="黑体"/>
        </w:rPr>
        <w:t>traditional</w:t>
      </w:r>
      <w:r>
        <w:rPr>
          <w:rFonts w:hint="eastAsia" w:ascii="黑体" w:hAnsi="黑体" w:eastAsia="黑体"/>
        </w:rPr>
        <w:t xml:space="preserve"> single-sided printed-circuit board</w:t>
      </w:r>
      <w:bookmarkEnd w:id="184"/>
      <w:bookmarkEnd w:id="185"/>
      <w:bookmarkEnd w:id="186"/>
      <w:bookmarkEnd w:id="187"/>
      <w:bookmarkEnd w:id="188"/>
    </w:p>
    <w:p w14:paraId="585AC402">
      <w:pPr>
        <w:pStyle w:val="59"/>
        <w:ind w:firstLine="420"/>
      </w:pPr>
      <w:r>
        <w:rPr>
          <w:rFonts w:hint="eastAsia"/>
        </w:rPr>
        <w:t>仅在覆铜板一面上有导电图形的印制电路板。</w:t>
      </w:r>
    </w:p>
    <w:p w14:paraId="2D1E619C">
      <w:pPr>
        <w:pStyle w:val="226"/>
        <w:ind w:left="420" w:hanging="420" w:hangingChars="200"/>
        <w:rPr>
          <w:rFonts w:hint="eastAsia" w:ascii="黑体" w:hAnsi="黑体" w:eastAsia="黑体"/>
        </w:rPr>
      </w:pPr>
      <w:bookmarkStart w:id="189" w:name="_Toc496771250"/>
      <w:bookmarkStart w:id="190" w:name="_Toc496880984"/>
      <w:bookmarkStart w:id="191" w:name="_Toc492372566"/>
      <w:bookmarkStart w:id="192" w:name="_Toc502760451"/>
      <w:bookmarkStart w:id="193" w:name="_Toc492372421"/>
      <w:r>
        <w:rPr>
          <w:rFonts w:ascii="黑体" w:hAnsi="黑体" w:eastAsia="黑体"/>
        </w:rPr>
        <w:br w:type="textWrapping"/>
      </w:r>
      <w:r>
        <w:rPr>
          <w:rFonts w:hint="eastAsia" w:ascii="黑体" w:hAnsi="黑体" w:eastAsia="黑体"/>
        </w:rPr>
        <w:t xml:space="preserve">传统双面印制电路板  </w:t>
      </w:r>
      <w:r>
        <w:rPr>
          <w:rFonts w:ascii="黑体" w:hAnsi="黑体" w:eastAsia="黑体"/>
        </w:rPr>
        <w:t>traditional</w:t>
      </w:r>
      <w:r>
        <w:rPr>
          <w:rFonts w:hint="eastAsia" w:ascii="黑体" w:hAnsi="黑体" w:eastAsia="黑体"/>
        </w:rPr>
        <w:t xml:space="preserve"> double-sided printed-circuit board</w:t>
      </w:r>
      <w:bookmarkEnd w:id="189"/>
      <w:bookmarkEnd w:id="190"/>
      <w:bookmarkEnd w:id="191"/>
      <w:bookmarkEnd w:id="192"/>
      <w:bookmarkEnd w:id="193"/>
    </w:p>
    <w:p w14:paraId="01937232">
      <w:pPr>
        <w:pStyle w:val="59"/>
        <w:ind w:firstLine="420"/>
      </w:pPr>
      <w:r>
        <w:rPr>
          <w:rFonts w:hint="eastAsia"/>
        </w:rPr>
        <w:t>覆铜板两面均有导电图形的印制电路板。</w:t>
      </w:r>
    </w:p>
    <w:p w14:paraId="10909772">
      <w:pPr>
        <w:pStyle w:val="226"/>
        <w:ind w:left="420" w:hanging="420" w:hangingChars="200"/>
        <w:rPr>
          <w:rFonts w:hint="eastAsia" w:ascii="黑体" w:hAnsi="黑体" w:eastAsia="黑体"/>
        </w:rPr>
      </w:pPr>
      <w:bookmarkStart w:id="194" w:name="_Toc502760453"/>
      <w:bookmarkStart w:id="195" w:name="_Toc496880986"/>
      <w:bookmarkStart w:id="196" w:name="_Toc492372423"/>
      <w:bookmarkStart w:id="197" w:name="_Toc492372568"/>
      <w:bookmarkStart w:id="198" w:name="_Toc496771252"/>
      <w:r>
        <w:rPr>
          <w:rFonts w:ascii="黑体" w:hAnsi="黑体" w:eastAsia="黑体"/>
        </w:rPr>
        <w:br w:type="textWrapping"/>
      </w:r>
      <w:r>
        <w:rPr>
          <w:rFonts w:hint="eastAsia" w:ascii="黑体" w:hAnsi="黑体" w:eastAsia="黑体"/>
        </w:rPr>
        <w:t xml:space="preserve">传统多层印制电路板  </w:t>
      </w:r>
      <w:r>
        <w:rPr>
          <w:rFonts w:ascii="黑体" w:hAnsi="黑体" w:eastAsia="黑体"/>
        </w:rPr>
        <w:t>traditional</w:t>
      </w:r>
      <w:r>
        <w:rPr>
          <w:rFonts w:hint="eastAsia" w:ascii="黑体" w:hAnsi="黑体" w:eastAsia="黑体"/>
        </w:rPr>
        <w:t xml:space="preserve"> multilayer printed-circuit board</w:t>
      </w:r>
      <w:bookmarkEnd w:id="194"/>
      <w:bookmarkEnd w:id="195"/>
      <w:bookmarkEnd w:id="196"/>
      <w:bookmarkEnd w:id="197"/>
      <w:bookmarkEnd w:id="198"/>
    </w:p>
    <w:p w14:paraId="160EBB7F">
      <w:pPr>
        <w:pStyle w:val="59"/>
        <w:ind w:firstLine="420"/>
      </w:pPr>
      <w:r>
        <w:rPr>
          <w:rFonts w:hint="eastAsia"/>
        </w:rPr>
        <w:t>由多于两层导电图形与绝缘材料交替粘接在一起，且层间导电图形互连的印制电路板。</w:t>
      </w:r>
    </w:p>
    <w:p w14:paraId="4E3BB643">
      <w:pPr>
        <w:pStyle w:val="226"/>
        <w:ind w:left="420" w:hanging="420" w:hangingChars="200"/>
        <w:rPr>
          <w:rFonts w:hint="eastAsia" w:ascii="黑体" w:hAnsi="黑体" w:eastAsia="黑体"/>
        </w:rPr>
      </w:pPr>
      <w:bookmarkStart w:id="199" w:name="_Toc496771254"/>
      <w:bookmarkStart w:id="200" w:name="_Toc492372570"/>
      <w:bookmarkStart w:id="201" w:name="_Toc502760455"/>
      <w:bookmarkStart w:id="202" w:name="_Toc492372425"/>
      <w:bookmarkStart w:id="203" w:name="_Toc496880988"/>
      <w:r>
        <w:rPr>
          <w:rFonts w:ascii="黑体" w:hAnsi="黑体" w:eastAsia="黑体"/>
        </w:rPr>
        <w:br w:type="textWrapping"/>
      </w:r>
      <w:r>
        <w:rPr>
          <w:rFonts w:hint="eastAsia" w:ascii="黑体" w:hAnsi="黑体" w:eastAsia="黑体"/>
        </w:rPr>
        <w:t>HDI高密度互连印制电路板  high density interconnect printed-circuit bord</w:t>
      </w:r>
      <w:bookmarkEnd w:id="199"/>
      <w:bookmarkEnd w:id="200"/>
      <w:bookmarkEnd w:id="201"/>
      <w:bookmarkEnd w:id="202"/>
      <w:bookmarkEnd w:id="203"/>
    </w:p>
    <w:p w14:paraId="63CC1698">
      <w:pPr>
        <w:pStyle w:val="59"/>
        <w:ind w:firstLine="420"/>
      </w:pPr>
      <w:r>
        <w:rPr>
          <w:rFonts w:hint="eastAsia"/>
        </w:rPr>
        <w:t>用微孔、盲孔、埋孔技术生产的一种线路分布密度较高的印制电路板。</w:t>
      </w:r>
    </w:p>
    <w:p w14:paraId="278BBD1B">
      <w:pPr>
        <w:pStyle w:val="226"/>
        <w:ind w:left="420" w:hanging="420" w:hangingChars="200"/>
        <w:rPr>
          <w:rFonts w:hint="eastAsia" w:ascii="黑体" w:hAnsi="黑体" w:eastAsia="黑体"/>
        </w:rPr>
      </w:pPr>
      <w:bookmarkStart w:id="204" w:name="_Toc502760457"/>
      <w:bookmarkStart w:id="205" w:name="_Toc496880990"/>
      <w:bookmarkStart w:id="206" w:name="_Toc483588688"/>
      <w:bookmarkStart w:id="207" w:name="_Toc496771256"/>
      <w:bookmarkStart w:id="208" w:name="_Toc492372427"/>
      <w:bookmarkStart w:id="209" w:name="_Toc483578659"/>
      <w:bookmarkStart w:id="210" w:name="_Toc492372572"/>
      <w:bookmarkStart w:id="211" w:name="_Toc483588152"/>
      <w:r>
        <w:rPr>
          <w:rFonts w:ascii="黑体" w:hAnsi="黑体" w:eastAsia="黑体"/>
        </w:rPr>
        <w:br w:type="textWrapping"/>
      </w:r>
      <w:r>
        <w:rPr>
          <w:rFonts w:hint="eastAsia" w:ascii="黑体" w:hAnsi="黑体" w:eastAsia="黑体"/>
        </w:rPr>
        <w:t>空分产品  air separation product</w:t>
      </w:r>
      <w:bookmarkEnd w:id="204"/>
      <w:bookmarkEnd w:id="205"/>
      <w:bookmarkEnd w:id="206"/>
      <w:bookmarkEnd w:id="207"/>
      <w:bookmarkEnd w:id="208"/>
      <w:bookmarkEnd w:id="209"/>
      <w:bookmarkEnd w:id="210"/>
      <w:bookmarkEnd w:id="211"/>
    </w:p>
    <w:p w14:paraId="36E28043">
      <w:pPr>
        <w:pStyle w:val="59"/>
        <w:ind w:firstLine="420"/>
      </w:pPr>
      <w:r>
        <w:rPr>
          <w:rFonts w:hint="eastAsia"/>
        </w:rPr>
        <w:t>以空气为原料制取生产的氧、氮、氩产品。</w:t>
      </w:r>
    </w:p>
    <w:p w14:paraId="2A5F60CF">
      <w:pPr>
        <w:pStyle w:val="226"/>
        <w:ind w:left="420" w:hanging="420" w:hangingChars="200"/>
        <w:rPr>
          <w:rFonts w:hint="eastAsia" w:ascii="黑体" w:hAnsi="黑体" w:eastAsia="黑体"/>
        </w:rPr>
      </w:pPr>
      <w:r>
        <w:rPr>
          <w:rFonts w:hint="eastAsia" w:ascii="黑体" w:hAnsi="黑体" w:eastAsia="黑体"/>
        </w:rPr>
        <w:br w:type="textWrapping"/>
      </w:r>
      <w:r>
        <w:rPr>
          <w:rFonts w:hint="eastAsia" w:ascii="黑体" w:hAnsi="黑体" w:eastAsia="黑体"/>
        </w:rPr>
        <w:t xml:space="preserve">压缩空气站  </w:t>
      </w:r>
      <w:r>
        <w:rPr>
          <w:rFonts w:ascii="黑体" w:hAnsi="黑体" w:eastAsia="黑体"/>
        </w:rPr>
        <w:t>compressed air statio</w:t>
      </w:r>
      <w:r>
        <w:rPr>
          <w:rFonts w:hint="eastAsia" w:ascii="黑体" w:hAnsi="黑体" w:eastAsia="黑体"/>
        </w:rPr>
        <w:t>n</w:t>
      </w:r>
    </w:p>
    <w:p w14:paraId="2811B034">
      <w:pPr>
        <w:pStyle w:val="59"/>
        <w:ind w:firstLine="420"/>
      </w:pPr>
      <w:r>
        <w:rPr>
          <w:rFonts w:hint="eastAsia"/>
        </w:rPr>
        <w:t>由空气压缩机组、供气系统所组成的用于提供压缩空气产品的系统。</w:t>
      </w:r>
    </w:p>
    <w:p w14:paraId="49A18DE9">
      <w:pPr>
        <w:pStyle w:val="107"/>
        <w:spacing w:before="312" w:after="312"/>
      </w:pPr>
      <w:bookmarkStart w:id="212" w:name="_Toc15671"/>
      <w:bookmarkStart w:id="213" w:name="_Toc24616"/>
      <w:bookmarkStart w:id="214" w:name="_Toc175690937"/>
      <w:bookmarkStart w:id="215" w:name="_Toc175504951"/>
      <w:bookmarkStart w:id="216" w:name="_Toc4005"/>
      <w:r>
        <w:rPr>
          <w:rFonts w:hint="eastAsia"/>
        </w:rPr>
        <w:t>能耗指标</w:t>
      </w:r>
      <w:bookmarkEnd w:id="212"/>
      <w:bookmarkEnd w:id="213"/>
      <w:bookmarkEnd w:id="214"/>
      <w:bookmarkEnd w:id="215"/>
      <w:bookmarkEnd w:id="216"/>
    </w:p>
    <w:p w14:paraId="55CE0760">
      <w:pPr>
        <w:pStyle w:val="108"/>
        <w:spacing w:before="156" w:after="156"/>
      </w:pPr>
      <w:bookmarkStart w:id="217" w:name="_Toc8469"/>
      <w:bookmarkStart w:id="218" w:name="_Toc175690938"/>
      <w:bookmarkStart w:id="219" w:name="_Toc175504952"/>
      <w:bookmarkStart w:id="220" w:name="_Toc18248"/>
      <w:bookmarkStart w:id="221" w:name="_Toc30303"/>
      <w:r>
        <w:rPr>
          <w:rFonts w:hint="eastAsia"/>
        </w:rPr>
        <w:t>大豆油</w:t>
      </w:r>
      <w:bookmarkEnd w:id="217"/>
      <w:bookmarkEnd w:id="218"/>
      <w:bookmarkEnd w:id="219"/>
      <w:bookmarkEnd w:id="220"/>
      <w:bookmarkEnd w:id="221"/>
    </w:p>
    <w:p w14:paraId="5BFDBEA5">
      <w:pPr>
        <w:pStyle w:val="68"/>
        <w:spacing w:before="156" w:after="156"/>
      </w:pPr>
      <w:r>
        <w:rPr>
          <w:rFonts w:hint="eastAsia"/>
        </w:rPr>
        <w:t>适用对象</w:t>
      </w:r>
    </w:p>
    <w:p w14:paraId="3087B8CD">
      <w:pPr>
        <w:pStyle w:val="59"/>
        <w:ind w:firstLine="420"/>
      </w:pPr>
      <w:r>
        <w:rPr>
          <w:rFonts w:hint="eastAsia"/>
        </w:rPr>
        <w:t>适用于大豆油生产企业单位产品能耗的计算、考核与评价，以及对新建、改扩建项目的能耗控制。</w:t>
      </w:r>
    </w:p>
    <w:p w14:paraId="61C969C9">
      <w:pPr>
        <w:pStyle w:val="68"/>
        <w:spacing w:before="156" w:after="156"/>
      </w:pPr>
      <w:r>
        <w:rPr>
          <w:rFonts w:hint="eastAsia"/>
        </w:rPr>
        <w:t>大豆油生产主要工序单位产品综合能耗限定值和准入值</w:t>
      </w:r>
    </w:p>
    <w:p w14:paraId="06EC31A5">
      <w:pPr>
        <w:pStyle w:val="59"/>
        <w:ind w:firstLine="420"/>
      </w:pPr>
      <w:r>
        <w:rPr>
          <w:rFonts w:hint="eastAsia"/>
        </w:rPr>
        <w:t>现有企业大豆油生产主要工序单位产品综合能耗限定值，新建企业、现有企业改扩建项目大豆油生产主要工序单位产品综合能耗准入值应符合表1的规定。</w:t>
      </w:r>
    </w:p>
    <w:p w14:paraId="2E393074">
      <w:pPr>
        <w:pStyle w:val="115"/>
        <w:spacing w:before="156" w:after="156"/>
      </w:pPr>
      <w:r>
        <w:rPr>
          <w:rFonts w:hint="eastAsia"/>
        </w:rPr>
        <w:t>大豆油主要工序单位产品综合能耗限定值和准入值</w:t>
      </w:r>
    </w:p>
    <w:tbl>
      <w:tblPr>
        <w:tblStyle w:val="28"/>
        <w:tblW w:w="4999"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42"/>
        <w:gridCol w:w="3237"/>
        <w:gridCol w:w="2993"/>
      </w:tblGrid>
      <w:tr w14:paraId="5AAFD8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c>
          <w:tcPr>
            <w:tcW w:w="1676" w:type="pct"/>
            <w:tcBorders>
              <w:top w:val="single" w:color="auto" w:sz="8" w:space="0"/>
              <w:bottom w:val="single" w:color="auto" w:sz="8" w:space="0"/>
            </w:tcBorders>
            <w:shd w:val="clear" w:color="auto" w:fill="auto"/>
            <w:vAlign w:val="center"/>
          </w:tcPr>
          <w:p w14:paraId="63049DBE">
            <w:pPr>
              <w:pStyle w:val="233"/>
              <w:numPr>
                <w:ilvl w:val="0"/>
                <w:numId w:val="0"/>
              </w:numPr>
              <w:snapToGrid w:val="0"/>
              <w:spacing w:beforeLines="0" w:afterLines="0"/>
              <w:jc w:val="center"/>
              <w:rPr>
                <w:rFonts w:hint="eastAsia" w:ascii="宋体" w:hAnsi="宋体" w:eastAsia="宋体"/>
                <w:sz w:val="18"/>
                <w:szCs w:val="18"/>
              </w:rPr>
            </w:pPr>
            <w:bookmarkStart w:id="222" w:name="_Toc483398261"/>
            <w:bookmarkStart w:id="223" w:name="_Toc483578672"/>
            <w:bookmarkStart w:id="224" w:name="_Toc496881005"/>
            <w:bookmarkStart w:id="225" w:name="_Toc496771268"/>
            <w:bookmarkStart w:id="226" w:name="_Toc483588165"/>
            <w:bookmarkStart w:id="227" w:name="_Toc483588701"/>
            <w:bookmarkStart w:id="228" w:name="_Toc492372583"/>
            <w:bookmarkStart w:id="229" w:name="_Toc502760472"/>
            <w:bookmarkStart w:id="230" w:name="_Toc492372437"/>
            <w:r>
              <w:rPr>
                <w:rFonts w:hint="eastAsia" w:ascii="宋体" w:hAnsi="宋体" w:eastAsia="宋体"/>
                <w:sz w:val="18"/>
                <w:szCs w:val="18"/>
              </w:rPr>
              <w:t>工序名称</w:t>
            </w:r>
            <w:bookmarkEnd w:id="222"/>
            <w:bookmarkEnd w:id="223"/>
            <w:bookmarkEnd w:id="224"/>
            <w:bookmarkEnd w:id="225"/>
            <w:bookmarkEnd w:id="226"/>
            <w:bookmarkEnd w:id="227"/>
            <w:bookmarkEnd w:id="228"/>
            <w:bookmarkEnd w:id="229"/>
            <w:bookmarkEnd w:id="230"/>
          </w:p>
        </w:tc>
        <w:tc>
          <w:tcPr>
            <w:tcW w:w="1726" w:type="pct"/>
            <w:tcBorders>
              <w:top w:val="single" w:color="auto" w:sz="8" w:space="0"/>
              <w:bottom w:val="single" w:color="auto" w:sz="8" w:space="0"/>
            </w:tcBorders>
            <w:shd w:val="clear" w:color="auto" w:fill="auto"/>
            <w:vAlign w:val="center"/>
          </w:tcPr>
          <w:p w14:paraId="4324666D">
            <w:pPr>
              <w:pStyle w:val="233"/>
              <w:numPr>
                <w:ilvl w:val="0"/>
                <w:numId w:val="0"/>
              </w:numPr>
              <w:snapToGrid w:val="0"/>
              <w:spacing w:beforeLines="0" w:afterLines="0"/>
              <w:jc w:val="center"/>
              <w:rPr>
                <w:rFonts w:hint="eastAsia" w:ascii="宋体" w:hAnsi="宋体" w:eastAsia="宋体"/>
                <w:sz w:val="18"/>
                <w:szCs w:val="18"/>
              </w:rPr>
            </w:pPr>
            <w:bookmarkStart w:id="231" w:name="_Toc483578673"/>
            <w:bookmarkStart w:id="232" w:name="_Toc496771269"/>
            <w:bookmarkStart w:id="233" w:name="_Toc483398262"/>
            <w:bookmarkStart w:id="234" w:name="_Toc483588166"/>
            <w:bookmarkStart w:id="235" w:name="_Toc496881006"/>
            <w:bookmarkStart w:id="236" w:name="_Toc492372584"/>
            <w:bookmarkStart w:id="237" w:name="_Toc483588702"/>
            <w:bookmarkStart w:id="238" w:name="_Toc502760473"/>
            <w:bookmarkStart w:id="239" w:name="_Toc492372438"/>
            <w:r>
              <w:rPr>
                <w:rFonts w:hint="eastAsia" w:ascii="宋体" w:hAnsi="宋体" w:eastAsia="宋体"/>
                <w:sz w:val="18"/>
                <w:szCs w:val="18"/>
              </w:rPr>
              <w:t>单位产品综合能耗限定值</w:t>
            </w:r>
            <w:bookmarkEnd w:id="231"/>
            <w:bookmarkEnd w:id="232"/>
            <w:bookmarkEnd w:id="233"/>
            <w:bookmarkEnd w:id="234"/>
            <w:bookmarkEnd w:id="235"/>
            <w:bookmarkEnd w:id="236"/>
            <w:bookmarkEnd w:id="237"/>
            <w:bookmarkEnd w:id="238"/>
            <w:bookmarkEnd w:id="239"/>
          </w:p>
          <w:p w14:paraId="667A4CB8">
            <w:pPr>
              <w:pStyle w:val="234"/>
              <w:snapToGrid w:val="0"/>
              <w:ind w:firstLine="0" w:firstLineChars="0"/>
              <w:jc w:val="center"/>
              <w:rPr>
                <w:rFonts w:hint="eastAsia" w:hAnsi="宋体"/>
                <w:sz w:val="18"/>
                <w:szCs w:val="18"/>
              </w:rPr>
            </w:pPr>
            <w:r>
              <w:rPr>
                <w:rFonts w:hint="eastAsia" w:hAnsi="宋体"/>
                <w:sz w:val="18"/>
                <w:szCs w:val="18"/>
              </w:rPr>
              <w:t>kgce/t</w:t>
            </w:r>
          </w:p>
        </w:tc>
        <w:tc>
          <w:tcPr>
            <w:tcW w:w="1596" w:type="pct"/>
            <w:tcBorders>
              <w:top w:val="single" w:color="auto" w:sz="8" w:space="0"/>
              <w:bottom w:val="single" w:color="auto" w:sz="8" w:space="0"/>
            </w:tcBorders>
            <w:shd w:val="clear" w:color="auto" w:fill="auto"/>
            <w:vAlign w:val="center"/>
          </w:tcPr>
          <w:p w14:paraId="7CDE28F9">
            <w:pPr>
              <w:pStyle w:val="233"/>
              <w:numPr>
                <w:ilvl w:val="0"/>
                <w:numId w:val="0"/>
              </w:numPr>
              <w:snapToGrid w:val="0"/>
              <w:spacing w:beforeLines="0" w:afterLines="0"/>
              <w:jc w:val="center"/>
              <w:rPr>
                <w:rFonts w:hint="eastAsia" w:ascii="宋体" w:hAnsi="宋体" w:eastAsia="宋体"/>
                <w:sz w:val="18"/>
                <w:szCs w:val="18"/>
              </w:rPr>
            </w:pPr>
            <w:r>
              <w:rPr>
                <w:rFonts w:hint="eastAsia" w:ascii="宋体" w:hAnsi="宋体" w:eastAsia="宋体"/>
                <w:sz w:val="18"/>
                <w:szCs w:val="18"/>
              </w:rPr>
              <w:t>单位产品综合能耗准入值</w:t>
            </w:r>
          </w:p>
          <w:p w14:paraId="71D6DB81">
            <w:pPr>
              <w:pStyle w:val="234"/>
              <w:snapToGrid w:val="0"/>
              <w:ind w:firstLine="0" w:firstLineChars="0"/>
              <w:jc w:val="center"/>
              <w:rPr>
                <w:rFonts w:hint="eastAsia" w:hAnsi="宋体"/>
                <w:sz w:val="18"/>
                <w:szCs w:val="18"/>
              </w:rPr>
            </w:pPr>
            <w:r>
              <w:rPr>
                <w:rFonts w:hint="eastAsia" w:hAnsi="宋体"/>
                <w:sz w:val="18"/>
                <w:szCs w:val="18"/>
              </w:rPr>
              <w:t>kgce/t</w:t>
            </w:r>
          </w:p>
        </w:tc>
      </w:tr>
      <w:tr w14:paraId="7D57BB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76" w:type="pct"/>
            <w:tcBorders>
              <w:top w:val="single" w:color="auto" w:sz="8" w:space="0"/>
            </w:tcBorders>
            <w:shd w:val="clear" w:color="auto" w:fill="auto"/>
            <w:vAlign w:val="center"/>
          </w:tcPr>
          <w:p w14:paraId="2707065C">
            <w:pPr>
              <w:pStyle w:val="233"/>
              <w:numPr>
                <w:ilvl w:val="0"/>
                <w:numId w:val="0"/>
              </w:numPr>
              <w:snapToGrid w:val="0"/>
              <w:spacing w:beforeLines="0" w:afterLines="0"/>
              <w:jc w:val="center"/>
              <w:rPr>
                <w:rFonts w:hint="eastAsia" w:ascii="宋体" w:hAnsi="宋体" w:eastAsia="宋体"/>
                <w:sz w:val="18"/>
                <w:szCs w:val="18"/>
              </w:rPr>
            </w:pPr>
            <w:bookmarkStart w:id="240" w:name="_Toc492372439"/>
            <w:bookmarkStart w:id="241" w:name="_Toc483588703"/>
            <w:bookmarkStart w:id="242" w:name="_Toc483398263"/>
            <w:bookmarkStart w:id="243" w:name="_Toc496881007"/>
            <w:bookmarkStart w:id="244" w:name="_Toc483588167"/>
            <w:bookmarkStart w:id="245" w:name="_Toc492372585"/>
            <w:bookmarkStart w:id="246" w:name="_Toc496771270"/>
            <w:bookmarkStart w:id="247" w:name="_Toc483578674"/>
            <w:bookmarkStart w:id="248" w:name="_Toc502760474"/>
            <w:r>
              <w:rPr>
                <w:rFonts w:hint="eastAsia" w:ascii="宋体" w:hAnsi="宋体" w:eastAsia="宋体"/>
                <w:spacing w:val="20"/>
                <w:sz w:val="18"/>
                <w:szCs w:val="18"/>
              </w:rPr>
              <w:t>压榨工序</w:t>
            </w:r>
            <w:bookmarkEnd w:id="240"/>
            <w:bookmarkEnd w:id="241"/>
            <w:bookmarkEnd w:id="242"/>
            <w:bookmarkEnd w:id="243"/>
            <w:bookmarkEnd w:id="244"/>
            <w:bookmarkEnd w:id="245"/>
            <w:bookmarkEnd w:id="246"/>
            <w:bookmarkEnd w:id="247"/>
            <w:bookmarkEnd w:id="248"/>
          </w:p>
        </w:tc>
        <w:tc>
          <w:tcPr>
            <w:tcW w:w="1726" w:type="pct"/>
            <w:tcBorders>
              <w:top w:val="single" w:color="auto" w:sz="8" w:space="0"/>
            </w:tcBorders>
            <w:shd w:val="clear" w:color="auto" w:fill="auto"/>
            <w:vAlign w:val="center"/>
          </w:tcPr>
          <w:p w14:paraId="538BB05E">
            <w:pPr>
              <w:pStyle w:val="233"/>
              <w:numPr>
                <w:ilvl w:val="0"/>
                <w:numId w:val="0"/>
              </w:numPr>
              <w:snapToGrid w:val="0"/>
              <w:spacing w:beforeLines="0" w:afterLines="0"/>
              <w:jc w:val="center"/>
              <w:rPr>
                <w:rFonts w:hint="eastAsia" w:ascii="宋体" w:hAnsi="宋体" w:eastAsia="宋体"/>
                <w:sz w:val="18"/>
                <w:szCs w:val="18"/>
              </w:rPr>
            </w:pPr>
            <w:bookmarkStart w:id="249" w:name="_Toc502760475"/>
            <w:bookmarkStart w:id="250" w:name="_Toc483578675"/>
            <w:bookmarkStart w:id="251" w:name="_Toc492372440"/>
            <w:bookmarkStart w:id="252" w:name="_Toc483588704"/>
            <w:bookmarkStart w:id="253" w:name="_Toc496881008"/>
            <w:bookmarkStart w:id="254" w:name="_Toc483398264"/>
            <w:bookmarkStart w:id="255" w:name="_Toc496771271"/>
            <w:bookmarkStart w:id="256" w:name="_Toc483588168"/>
            <w:bookmarkStart w:id="257" w:name="_Toc492372586"/>
            <w:r>
              <w:rPr>
                <w:rFonts w:hint="eastAsia" w:ascii="宋体" w:hAnsi="宋体" w:eastAsia="宋体"/>
                <w:sz w:val="18"/>
                <w:szCs w:val="18"/>
              </w:rPr>
              <w:t>≤ 32</w:t>
            </w:r>
            <w:bookmarkEnd w:id="249"/>
            <w:bookmarkEnd w:id="250"/>
            <w:bookmarkEnd w:id="251"/>
            <w:bookmarkEnd w:id="252"/>
            <w:bookmarkEnd w:id="253"/>
            <w:bookmarkEnd w:id="254"/>
            <w:bookmarkEnd w:id="255"/>
            <w:bookmarkEnd w:id="256"/>
            <w:bookmarkEnd w:id="257"/>
          </w:p>
        </w:tc>
        <w:tc>
          <w:tcPr>
            <w:tcW w:w="1596" w:type="pct"/>
            <w:tcBorders>
              <w:top w:val="single" w:color="auto" w:sz="8" w:space="0"/>
            </w:tcBorders>
            <w:shd w:val="clear" w:color="auto" w:fill="auto"/>
            <w:vAlign w:val="center"/>
          </w:tcPr>
          <w:p w14:paraId="30F9E1C9">
            <w:pPr>
              <w:pStyle w:val="233"/>
              <w:numPr>
                <w:ilvl w:val="0"/>
                <w:numId w:val="0"/>
              </w:numPr>
              <w:snapToGrid w:val="0"/>
              <w:spacing w:beforeLines="0" w:afterLines="0"/>
              <w:jc w:val="center"/>
              <w:rPr>
                <w:rFonts w:hint="eastAsia" w:ascii="宋体" w:hAnsi="宋体" w:eastAsia="宋体"/>
                <w:sz w:val="18"/>
                <w:szCs w:val="18"/>
              </w:rPr>
            </w:pPr>
            <w:r>
              <w:rPr>
                <w:rFonts w:hint="eastAsia" w:ascii="宋体" w:hAnsi="宋体" w:eastAsia="宋体"/>
                <w:sz w:val="18"/>
                <w:szCs w:val="18"/>
              </w:rPr>
              <w:t xml:space="preserve">≤ </w:t>
            </w:r>
            <w:r>
              <w:rPr>
                <w:rFonts w:ascii="宋体" w:hAnsi="宋体" w:eastAsia="宋体"/>
                <w:sz w:val="18"/>
                <w:szCs w:val="18"/>
              </w:rPr>
              <w:t>29</w:t>
            </w:r>
          </w:p>
        </w:tc>
      </w:tr>
      <w:tr w14:paraId="6800CD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676" w:type="pct"/>
            <w:shd w:val="clear" w:color="auto" w:fill="auto"/>
            <w:vAlign w:val="center"/>
          </w:tcPr>
          <w:p w14:paraId="29C020E5">
            <w:pPr>
              <w:pStyle w:val="233"/>
              <w:numPr>
                <w:ilvl w:val="0"/>
                <w:numId w:val="0"/>
              </w:numPr>
              <w:snapToGrid w:val="0"/>
              <w:spacing w:beforeLines="0" w:afterLines="0"/>
              <w:jc w:val="center"/>
              <w:rPr>
                <w:rFonts w:hint="eastAsia" w:ascii="宋体" w:hAnsi="宋体" w:eastAsia="宋体"/>
                <w:sz w:val="18"/>
                <w:szCs w:val="18"/>
              </w:rPr>
            </w:pPr>
            <w:bookmarkStart w:id="258" w:name="_Toc492372441"/>
            <w:bookmarkStart w:id="259" w:name="_Toc492372587"/>
            <w:bookmarkStart w:id="260" w:name="_Toc483588169"/>
            <w:bookmarkStart w:id="261" w:name="_Toc496771272"/>
            <w:bookmarkStart w:id="262" w:name="_Toc483578676"/>
            <w:bookmarkStart w:id="263" w:name="_Toc502760476"/>
            <w:bookmarkStart w:id="264" w:name="_Toc483588705"/>
            <w:bookmarkStart w:id="265" w:name="_Toc483398265"/>
            <w:bookmarkStart w:id="266" w:name="_Toc496881009"/>
            <w:r>
              <w:rPr>
                <w:rFonts w:hint="eastAsia" w:ascii="宋体" w:hAnsi="宋体" w:eastAsia="宋体"/>
                <w:spacing w:val="20"/>
                <w:sz w:val="18"/>
                <w:szCs w:val="18"/>
              </w:rPr>
              <w:t>精炼工序</w:t>
            </w:r>
            <w:bookmarkEnd w:id="258"/>
            <w:bookmarkEnd w:id="259"/>
            <w:bookmarkEnd w:id="260"/>
            <w:bookmarkEnd w:id="261"/>
            <w:bookmarkEnd w:id="262"/>
            <w:bookmarkEnd w:id="263"/>
            <w:bookmarkEnd w:id="264"/>
            <w:bookmarkEnd w:id="265"/>
            <w:bookmarkEnd w:id="266"/>
          </w:p>
        </w:tc>
        <w:tc>
          <w:tcPr>
            <w:tcW w:w="1726" w:type="pct"/>
            <w:shd w:val="clear" w:color="auto" w:fill="auto"/>
            <w:vAlign w:val="center"/>
          </w:tcPr>
          <w:p w14:paraId="4ABAC87C">
            <w:pPr>
              <w:pStyle w:val="233"/>
              <w:numPr>
                <w:ilvl w:val="0"/>
                <w:numId w:val="0"/>
              </w:numPr>
              <w:snapToGrid w:val="0"/>
              <w:spacing w:beforeLines="0" w:afterLines="0"/>
              <w:jc w:val="center"/>
              <w:rPr>
                <w:rFonts w:hint="eastAsia" w:ascii="宋体" w:hAnsi="宋体" w:eastAsia="宋体"/>
                <w:sz w:val="18"/>
                <w:szCs w:val="18"/>
              </w:rPr>
            </w:pPr>
            <w:r>
              <w:rPr>
                <w:rFonts w:hint="eastAsia" w:ascii="宋体" w:hAnsi="宋体" w:eastAsia="宋体"/>
                <w:sz w:val="18"/>
                <w:szCs w:val="18"/>
              </w:rPr>
              <w:t>≤</w:t>
            </w:r>
            <w:r>
              <w:rPr>
                <w:rFonts w:ascii="宋体" w:hAnsi="宋体" w:eastAsia="宋体"/>
                <w:sz w:val="18"/>
                <w:szCs w:val="18"/>
              </w:rPr>
              <w:t xml:space="preserve"> 26</w:t>
            </w:r>
          </w:p>
        </w:tc>
        <w:tc>
          <w:tcPr>
            <w:tcW w:w="1596" w:type="pct"/>
            <w:shd w:val="clear" w:color="auto" w:fill="auto"/>
            <w:vAlign w:val="center"/>
          </w:tcPr>
          <w:p w14:paraId="7AAA07F9">
            <w:pPr>
              <w:pStyle w:val="233"/>
              <w:numPr>
                <w:ilvl w:val="0"/>
                <w:numId w:val="0"/>
              </w:numPr>
              <w:snapToGrid w:val="0"/>
              <w:spacing w:beforeLines="0" w:afterLines="0"/>
              <w:jc w:val="center"/>
              <w:rPr>
                <w:rFonts w:hint="eastAsia" w:ascii="宋体" w:hAnsi="宋体" w:eastAsia="宋体"/>
                <w:sz w:val="18"/>
                <w:szCs w:val="18"/>
              </w:rPr>
            </w:pPr>
            <w:r>
              <w:rPr>
                <w:rFonts w:hint="eastAsia" w:ascii="宋体" w:hAnsi="宋体" w:eastAsia="宋体"/>
                <w:sz w:val="18"/>
                <w:szCs w:val="18"/>
              </w:rPr>
              <w:t>≤</w:t>
            </w:r>
            <w:r>
              <w:rPr>
                <w:rFonts w:ascii="宋体" w:hAnsi="宋体" w:eastAsia="宋体"/>
                <w:sz w:val="18"/>
                <w:szCs w:val="18"/>
              </w:rPr>
              <w:t xml:space="preserve"> 20</w:t>
            </w:r>
          </w:p>
        </w:tc>
      </w:tr>
    </w:tbl>
    <w:p w14:paraId="01E6CBF1">
      <w:pPr>
        <w:pStyle w:val="108"/>
        <w:spacing w:before="156" w:after="156"/>
      </w:pPr>
      <w:bookmarkStart w:id="267" w:name="_Toc175690939"/>
      <w:bookmarkStart w:id="268" w:name="_Toc30452"/>
      <w:bookmarkStart w:id="269" w:name="_Toc20059"/>
      <w:bookmarkStart w:id="270" w:name="_Toc175504953"/>
      <w:bookmarkStart w:id="271" w:name="_Toc32278"/>
      <w:r>
        <w:rPr>
          <w:rFonts w:hint="eastAsia"/>
        </w:rPr>
        <w:t>液态乳</w:t>
      </w:r>
      <w:bookmarkEnd w:id="267"/>
      <w:bookmarkEnd w:id="268"/>
      <w:bookmarkEnd w:id="269"/>
      <w:bookmarkEnd w:id="270"/>
      <w:bookmarkEnd w:id="271"/>
    </w:p>
    <w:p w14:paraId="0E2A8D8F">
      <w:pPr>
        <w:pStyle w:val="68"/>
        <w:spacing w:before="156" w:after="156"/>
      </w:pPr>
      <w:r>
        <w:rPr>
          <w:rFonts w:hint="eastAsia"/>
        </w:rPr>
        <w:t>适用对象</w:t>
      </w:r>
    </w:p>
    <w:p w14:paraId="1185527D">
      <w:pPr>
        <w:pStyle w:val="59"/>
        <w:spacing w:before="156" w:after="156"/>
        <w:ind w:firstLine="420"/>
      </w:pPr>
      <w:r>
        <w:rPr>
          <w:rFonts w:hint="eastAsia"/>
        </w:rPr>
        <w:t>适用于液态乳（杀菌乳、灭菌乳、发酵乳）生产企业单位产品能耗的计算、考核与评价，以及对新</w:t>
      </w:r>
      <w:r>
        <w:t>建、改扩建项目的能耗控制。</w:t>
      </w:r>
    </w:p>
    <w:p w14:paraId="42BA3DFB">
      <w:pPr>
        <w:pStyle w:val="68"/>
        <w:spacing w:before="156" w:after="156"/>
      </w:pPr>
      <w:r>
        <w:rPr>
          <w:rFonts w:hint="eastAsia"/>
        </w:rPr>
        <w:t>液态乳单位产品综合能耗限定值和准入值</w:t>
      </w:r>
    </w:p>
    <w:p w14:paraId="7DE8A557">
      <w:pPr>
        <w:pStyle w:val="59"/>
        <w:ind w:firstLine="420"/>
      </w:pPr>
      <w:r>
        <w:rPr>
          <w:rFonts w:hint="eastAsia"/>
        </w:rPr>
        <w:t>现有企业液态乳单位产品综合能耗限定值，新建企业、现有企业改扩建项目液态乳单位产品综合能耗准入值应符合表2的规定。</w:t>
      </w:r>
    </w:p>
    <w:p w14:paraId="611BEEAB">
      <w:pPr>
        <w:pStyle w:val="115"/>
        <w:spacing w:before="156" w:after="156"/>
      </w:pPr>
      <w:r>
        <w:rPr>
          <w:rFonts w:hint="eastAsia"/>
        </w:rPr>
        <w:t>液态乳单位产品综合能耗限定值和准入值</w:t>
      </w:r>
    </w:p>
    <w:tbl>
      <w:tblPr>
        <w:tblStyle w:val="28"/>
        <w:tblW w:w="4999"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488"/>
        <w:gridCol w:w="2941"/>
        <w:gridCol w:w="2943"/>
      </w:tblGrid>
      <w:tr w14:paraId="0A2660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861" w:type="pct"/>
            <w:tcBorders>
              <w:top w:val="single" w:color="auto" w:sz="8" w:space="0"/>
              <w:bottom w:val="single" w:color="auto" w:sz="8" w:space="0"/>
            </w:tcBorders>
            <w:shd w:val="clear" w:color="auto" w:fill="auto"/>
            <w:vAlign w:val="center"/>
          </w:tcPr>
          <w:p w14:paraId="079FFDE7">
            <w:pPr>
              <w:spacing w:line="240" w:lineRule="auto"/>
              <w:jc w:val="center"/>
              <w:rPr>
                <w:rFonts w:hint="eastAsia" w:ascii="宋体" w:hAnsi="宋体"/>
                <w:sz w:val="18"/>
                <w:szCs w:val="18"/>
              </w:rPr>
            </w:pPr>
            <w:r>
              <w:rPr>
                <w:rFonts w:hint="eastAsia" w:ascii="宋体" w:hAnsi="宋体"/>
                <w:sz w:val="18"/>
                <w:szCs w:val="18"/>
              </w:rPr>
              <w:t>分 类</w:t>
            </w:r>
          </w:p>
        </w:tc>
        <w:tc>
          <w:tcPr>
            <w:tcW w:w="1569" w:type="pct"/>
            <w:tcBorders>
              <w:top w:val="single" w:color="auto" w:sz="8" w:space="0"/>
              <w:bottom w:val="single" w:color="auto" w:sz="8" w:space="0"/>
            </w:tcBorders>
            <w:shd w:val="clear" w:color="auto" w:fill="auto"/>
            <w:vAlign w:val="center"/>
          </w:tcPr>
          <w:p w14:paraId="1FDC29FD">
            <w:pPr>
              <w:pStyle w:val="233"/>
              <w:numPr>
                <w:ilvl w:val="0"/>
                <w:numId w:val="0"/>
              </w:numPr>
              <w:snapToGrid w:val="0"/>
              <w:spacing w:beforeLines="0" w:afterLines="0"/>
              <w:jc w:val="center"/>
              <w:rPr>
                <w:rFonts w:hint="eastAsia" w:ascii="宋体" w:hAnsi="宋体" w:eastAsia="宋体"/>
                <w:sz w:val="18"/>
                <w:szCs w:val="18"/>
              </w:rPr>
            </w:pPr>
            <w:bookmarkStart w:id="272" w:name="_Toc492372596"/>
            <w:bookmarkStart w:id="273" w:name="_Toc496881018"/>
            <w:bookmarkStart w:id="274" w:name="_Toc483588178"/>
            <w:bookmarkStart w:id="275" w:name="_Toc502760485"/>
            <w:bookmarkStart w:id="276" w:name="_Toc483578685"/>
            <w:bookmarkStart w:id="277" w:name="_Toc492372450"/>
            <w:bookmarkStart w:id="278" w:name="_Toc483398274"/>
            <w:bookmarkStart w:id="279" w:name="_Toc496771281"/>
            <w:bookmarkStart w:id="280" w:name="_Toc483588714"/>
            <w:r>
              <w:rPr>
                <w:rFonts w:hint="eastAsia" w:ascii="宋体" w:hAnsi="宋体" w:eastAsia="宋体"/>
                <w:sz w:val="18"/>
                <w:szCs w:val="18"/>
              </w:rPr>
              <w:t>单位产品综合能耗限定值</w:t>
            </w:r>
            <w:bookmarkEnd w:id="272"/>
            <w:bookmarkEnd w:id="273"/>
            <w:bookmarkEnd w:id="274"/>
            <w:bookmarkEnd w:id="275"/>
            <w:bookmarkEnd w:id="276"/>
            <w:bookmarkEnd w:id="277"/>
            <w:bookmarkEnd w:id="278"/>
            <w:bookmarkEnd w:id="279"/>
            <w:bookmarkEnd w:id="280"/>
          </w:p>
          <w:p w14:paraId="5C4382AF">
            <w:pPr>
              <w:snapToGrid w:val="0"/>
              <w:spacing w:line="240" w:lineRule="auto"/>
              <w:jc w:val="center"/>
              <w:rPr>
                <w:rFonts w:hint="eastAsia" w:ascii="宋体" w:hAnsi="宋体"/>
                <w:sz w:val="18"/>
                <w:szCs w:val="18"/>
              </w:rPr>
            </w:pPr>
            <w:r>
              <w:rPr>
                <w:rFonts w:hint="eastAsia" w:ascii="宋体" w:hAnsi="宋体"/>
                <w:sz w:val="18"/>
                <w:szCs w:val="18"/>
              </w:rPr>
              <w:t>kgce/t</w:t>
            </w:r>
          </w:p>
        </w:tc>
        <w:tc>
          <w:tcPr>
            <w:tcW w:w="1569" w:type="pct"/>
            <w:tcBorders>
              <w:top w:val="single" w:color="auto" w:sz="8" w:space="0"/>
              <w:bottom w:val="single" w:color="auto" w:sz="8" w:space="0"/>
            </w:tcBorders>
            <w:shd w:val="clear" w:color="auto" w:fill="auto"/>
            <w:vAlign w:val="center"/>
          </w:tcPr>
          <w:p w14:paraId="24F9611F">
            <w:pPr>
              <w:pStyle w:val="233"/>
              <w:numPr>
                <w:ilvl w:val="0"/>
                <w:numId w:val="0"/>
              </w:numPr>
              <w:snapToGrid w:val="0"/>
              <w:spacing w:beforeLines="0" w:afterLines="0"/>
              <w:jc w:val="center"/>
              <w:rPr>
                <w:rFonts w:hint="eastAsia" w:ascii="宋体" w:hAnsi="宋体" w:eastAsia="宋体"/>
                <w:sz w:val="18"/>
                <w:szCs w:val="18"/>
              </w:rPr>
            </w:pPr>
            <w:r>
              <w:rPr>
                <w:rFonts w:hint="eastAsia" w:ascii="宋体" w:hAnsi="宋体" w:eastAsia="宋体"/>
                <w:sz w:val="18"/>
                <w:szCs w:val="18"/>
              </w:rPr>
              <w:t>单位产品综合能耗准入值</w:t>
            </w:r>
          </w:p>
          <w:p w14:paraId="0E0FAB2C">
            <w:pPr>
              <w:snapToGrid w:val="0"/>
              <w:spacing w:line="240" w:lineRule="auto"/>
              <w:jc w:val="center"/>
              <w:rPr>
                <w:rFonts w:hint="eastAsia" w:ascii="宋体" w:hAnsi="宋体"/>
                <w:sz w:val="18"/>
                <w:szCs w:val="18"/>
              </w:rPr>
            </w:pPr>
            <w:r>
              <w:rPr>
                <w:rFonts w:hint="eastAsia" w:ascii="宋体" w:hAnsi="宋体"/>
                <w:sz w:val="18"/>
                <w:szCs w:val="18"/>
              </w:rPr>
              <w:t>kgce/t</w:t>
            </w:r>
          </w:p>
        </w:tc>
      </w:tr>
      <w:tr w14:paraId="797ADF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861" w:type="pct"/>
            <w:tcBorders>
              <w:top w:val="single" w:color="auto" w:sz="8" w:space="0"/>
            </w:tcBorders>
            <w:shd w:val="clear" w:color="auto" w:fill="auto"/>
            <w:vAlign w:val="center"/>
          </w:tcPr>
          <w:p w14:paraId="7D4AF3FF">
            <w:pPr>
              <w:pStyle w:val="233"/>
              <w:numPr>
                <w:ilvl w:val="0"/>
                <w:numId w:val="0"/>
              </w:numPr>
              <w:spacing w:beforeLines="0" w:afterLines="0"/>
              <w:jc w:val="center"/>
              <w:rPr>
                <w:rFonts w:hint="eastAsia" w:ascii="宋体" w:hAnsi="宋体" w:eastAsia="宋体"/>
                <w:sz w:val="18"/>
                <w:szCs w:val="18"/>
              </w:rPr>
            </w:pPr>
            <w:bookmarkStart w:id="281" w:name="_Toc502760486"/>
            <w:bookmarkStart w:id="282" w:name="_Toc496771282"/>
            <w:bookmarkStart w:id="283" w:name="_Toc496881019"/>
            <w:bookmarkStart w:id="284" w:name="_Toc483588715"/>
            <w:bookmarkStart w:id="285" w:name="_Toc483398275"/>
            <w:bookmarkStart w:id="286" w:name="_Toc483578686"/>
            <w:bookmarkStart w:id="287" w:name="_Toc492372597"/>
            <w:bookmarkStart w:id="288" w:name="_Toc492372451"/>
            <w:bookmarkStart w:id="289" w:name="_Toc483588179"/>
            <w:r>
              <w:rPr>
                <w:rFonts w:ascii="宋体" w:hAnsi="宋体" w:eastAsia="宋体"/>
                <w:sz w:val="18"/>
                <w:szCs w:val="18"/>
              </w:rPr>
              <w:t xml:space="preserve">a </w:t>
            </w:r>
            <w:r>
              <w:rPr>
                <w:rFonts w:hint="eastAsia" w:ascii="宋体" w:hAnsi="宋体" w:eastAsia="宋体"/>
                <w:sz w:val="18"/>
                <w:szCs w:val="18"/>
              </w:rPr>
              <w:t>＜ 50</w:t>
            </w:r>
            <w:bookmarkEnd w:id="281"/>
            <w:bookmarkEnd w:id="282"/>
            <w:bookmarkEnd w:id="283"/>
            <w:bookmarkEnd w:id="284"/>
            <w:bookmarkEnd w:id="285"/>
            <w:bookmarkEnd w:id="286"/>
            <w:bookmarkEnd w:id="287"/>
            <w:bookmarkEnd w:id="288"/>
            <w:bookmarkEnd w:id="289"/>
            <w:r>
              <w:rPr>
                <w:rFonts w:ascii="宋体" w:hAnsi="宋体" w:eastAsia="宋体"/>
                <w:sz w:val="18"/>
                <w:szCs w:val="18"/>
              </w:rPr>
              <w:t xml:space="preserve"> </w:t>
            </w:r>
            <w:r>
              <w:rPr>
                <w:rFonts w:hint="eastAsia" w:ascii="宋体" w:hAnsi="宋体" w:eastAsia="宋体"/>
                <w:sz w:val="18"/>
                <w:szCs w:val="18"/>
              </w:rPr>
              <w:t>％</w:t>
            </w:r>
          </w:p>
        </w:tc>
        <w:tc>
          <w:tcPr>
            <w:tcW w:w="1569" w:type="pct"/>
            <w:tcBorders>
              <w:top w:val="single" w:color="auto" w:sz="8" w:space="0"/>
            </w:tcBorders>
            <w:shd w:val="clear" w:color="auto" w:fill="auto"/>
            <w:vAlign w:val="center"/>
          </w:tcPr>
          <w:p w14:paraId="3F7F6A48">
            <w:pPr>
              <w:pStyle w:val="233"/>
              <w:numPr>
                <w:ilvl w:val="0"/>
                <w:numId w:val="0"/>
              </w:numPr>
              <w:spacing w:beforeLines="0" w:afterLines="0"/>
              <w:jc w:val="center"/>
              <w:rPr>
                <w:rFonts w:hint="eastAsia" w:ascii="宋体" w:hAnsi="宋体" w:eastAsia="宋体"/>
                <w:sz w:val="18"/>
                <w:szCs w:val="18"/>
              </w:rPr>
            </w:pPr>
            <w:bookmarkStart w:id="290" w:name="_Toc483588180"/>
            <w:bookmarkStart w:id="291" w:name="_Toc502760487"/>
            <w:bookmarkStart w:id="292" w:name="_Toc483578687"/>
            <w:bookmarkStart w:id="293" w:name="_Toc496881020"/>
            <w:bookmarkStart w:id="294" w:name="_Toc496771283"/>
            <w:bookmarkStart w:id="295" w:name="_Toc483398276"/>
            <w:bookmarkStart w:id="296" w:name="_Toc492372452"/>
            <w:bookmarkStart w:id="297" w:name="_Toc483588716"/>
            <w:bookmarkStart w:id="298" w:name="_Toc492372598"/>
            <w:r>
              <w:rPr>
                <w:rFonts w:hint="eastAsia" w:ascii="宋体" w:hAnsi="宋体" w:eastAsia="宋体"/>
                <w:sz w:val="18"/>
                <w:szCs w:val="18"/>
              </w:rPr>
              <w:t>≤</w:t>
            </w:r>
            <w:bookmarkEnd w:id="290"/>
            <w:bookmarkEnd w:id="291"/>
            <w:bookmarkEnd w:id="292"/>
            <w:bookmarkEnd w:id="293"/>
            <w:bookmarkEnd w:id="294"/>
            <w:bookmarkEnd w:id="295"/>
            <w:bookmarkEnd w:id="296"/>
            <w:bookmarkEnd w:id="297"/>
            <w:bookmarkEnd w:id="298"/>
            <w:r>
              <w:rPr>
                <w:rFonts w:hint="eastAsia" w:ascii="宋体" w:hAnsi="宋体" w:eastAsia="宋体"/>
                <w:sz w:val="18"/>
                <w:szCs w:val="18"/>
              </w:rPr>
              <w:t xml:space="preserve"> </w:t>
            </w:r>
            <w:r>
              <w:rPr>
                <w:rFonts w:ascii="宋体" w:hAnsi="宋体" w:eastAsia="宋体"/>
                <w:sz w:val="18"/>
                <w:szCs w:val="18"/>
              </w:rPr>
              <w:t>90</w:t>
            </w:r>
          </w:p>
        </w:tc>
        <w:tc>
          <w:tcPr>
            <w:tcW w:w="1569" w:type="pct"/>
            <w:tcBorders>
              <w:top w:val="single" w:color="auto" w:sz="8" w:space="0"/>
            </w:tcBorders>
            <w:shd w:val="clear" w:color="auto" w:fill="auto"/>
            <w:vAlign w:val="center"/>
          </w:tcPr>
          <w:p w14:paraId="161D34AF">
            <w:pPr>
              <w:pStyle w:val="233"/>
              <w:numPr>
                <w:ilvl w:val="0"/>
                <w:numId w:val="0"/>
              </w:numPr>
              <w:spacing w:beforeLines="0" w:afterLines="0"/>
              <w:jc w:val="center"/>
              <w:rPr>
                <w:rFonts w:hint="eastAsia" w:ascii="宋体" w:hAnsi="宋体" w:eastAsia="宋体"/>
                <w:sz w:val="18"/>
                <w:szCs w:val="18"/>
              </w:rPr>
            </w:pPr>
            <w:r>
              <w:rPr>
                <w:rFonts w:hint="eastAsia" w:ascii="宋体" w:hAnsi="宋体" w:eastAsia="宋体"/>
                <w:sz w:val="18"/>
                <w:szCs w:val="18"/>
              </w:rPr>
              <w:t>≤</w:t>
            </w:r>
            <w:r>
              <w:rPr>
                <w:rFonts w:ascii="宋体" w:hAnsi="宋体" w:eastAsia="宋体"/>
                <w:sz w:val="18"/>
                <w:szCs w:val="18"/>
              </w:rPr>
              <w:t xml:space="preserve"> 85</w:t>
            </w:r>
          </w:p>
        </w:tc>
      </w:tr>
      <w:tr w14:paraId="2D25E9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861" w:type="pct"/>
            <w:shd w:val="clear" w:color="auto" w:fill="auto"/>
            <w:vAlign w:val="center"/>
          </w:tcPr>
          <w:p w14:paraId="79EEB7A8">
            <w:pPr>
              <w:pStyle w:val="233"/>
              <w:numPr>
                <w:ilvl w:val="0"/>
                <w:numId w:val="0"/>
              </w:numPr>
              <w:spacing w:beforeLines="0" w:afterLines="0"/>
              <w:jc w:val="center"/>
              <w:rPr>
                <w:rFonts w:hint="eastAsia" w:ascii="宋体" w:hAnsi="宋体" w:eastAsia="宋体"/>
                <w:sz w:val="18"/>
                <w:szCs w:val="18"/>
              </w:rPr>
            </w:pPr>
            <w:bookmarkStart w:id="299" w:name="_Toc483398277"/>
            <w:bookmarkStart w:id="300" w:name="_Toc483588717"/>
            <w:bookmarkStart w:id="301" w:name="_Toc492372599"/>
            <w:bookmarkStart w:id="302" w:name="_Toc483578688"/>
            <w:bookmarkStart w:id="303" w:name="_Toc483588181"/>
            <w:bookmarkStart w:id="304" w:name="_Toc492372453"/>
            <w:bookmarkStart w:id="305" w:name="_Toc496881021"/>
            <w:bookmarkStart w:id="306" w:name="_Toc502760488"/>
            <w:bookmarkStart w:id="307" w:name="_Toc496771284"/>
            <w:r>
              <w:rPr>
                <w:rFonts w:hint="eastAsia" w:ascii="宋体" w:hAnsi="宋体" w:eastAsia="宋体"/>
                <w:sz w:val="18"/>
                <w:szCs w:val="18"/>
              </w:rPr>
              <w:t>50</w:t>
            </w:r>
            <w:r>
              <w:rPr>
                <w:rFonts w:ascii="宋体" w:hAnsi="宋体" w:eastAsia="宋体"/>
                <w:sz w:val="18"/>
                <w:szCs w:val="18"/>
              </w:rPr>
              <w:t xml:space="preserve"> </w:t>
            </w:r>
            <w:r>
              <w:rPr>
                <w:rFonts w:hint="eastAsia" w:ascii="宋体" w:hAnsi="宋体" w:eastAsia="宋体"/>
                <w:sz w:val="18"/>
                <w:szCs w:val="18"/>
              </w:rPr>
              <w:t>％ ≤ a</w:t>
            </w:r>
            <w:r>
              <w:rPr>
                <w:rFonts w:ascii="宋体" w:hAnsi="宋体" w:eastAsia="宋体"/>
                <w:sz w:val="18"/>
                <w:szCs w:val="18"/>
              </w:rPr>
              <w:t xml:space="preserve"> </w:t>
            </w:r>
            <w:r>
              <w:rPr>
                <w:rFonts w:hint="eastAsia" w:ascii="宋体" w:hAnsi="宋体" w:eastAsia="宋体"/>
                <w:sz w:val="18"/>
                <w:szCs w:val="18"/>
              </w:rPr>
              <w:t>≤ 80</w:t>
            </w:r>
            <w:bookmarkEnd w:id="299"/>
            <w:bookmarkEnd w:id="300"/>
            <w:bookmarkEnd w:id="301"/>
            <w:bookmarkEnd w:id="302"/>
            <w:bookmarkEnd w:id="303"/>
            <w:bookmarkEnd w:id="304"/>
            <w:bookmarkEnd w:id="305"/>
            <w:bookmarkEnd w:id="306"/>
            <w:bookmarkEnd w:id="307"/>
            <w:r>
              <w:rPr>
                <w:rFonts w:ascii="宋体" w:hAnsi="宋体" w:eastAsia="宋体"/>
                <w:sz w:val="18"/>
                <w:szCs w:val="18"/>
              </w:rPr>
              <w:t xml:space="preserve"> </w:t>
            </w:r>
            <w:r>
              <w:rPr>
                <w:rFonts w:hint="eastAsia" w:ascii="宋体" w:hAnsi="宋体" w:eastAsia="宋体"/>
                <w:sz w:val="18"/>
                <w:szCs w:val="18"/>
              </w:rPr>
              <w:t>％</w:t>
            </w:r>
          </w:p>
        </w:tc>
        <w:tc>
          <w:tcPr>
            <w:tcW w:w="1569" w:type="pct"/>
            <w:shd w:val="clear" w:color="auto" w:fill="auto"/>
            <w:vAlign w:val="center"/>
          </w:tcPr>
          <w:p w14:paraId="56089966">
            <w:pPr>
              <w:pStyle w:val="233"/>
              <w:numPr>
                <w:ilvl w:val="0"/>
                <w:numId w:val="0"/>
              </w:numPr>
              <w:spacing w:beforeLines="0" w:afterLines="0"/>
              <w:jc w:val="center"/>
              <w:rPr>
                <w:rFonts w:hint="eastAsia" w:ascii="宋体" w:hAnsi="宋体" w:eastAsia="宋体"/>
                <w:sz w:val="18"/>
                <w:szCs w:val="18"/>
              </w:rPr>
            </w:pPr>
            <w:bookmarkStart w:id="308" w:name="_Toc483588718"/>
            <w:bookmarkStart w:id="309" w:name="_Toc502760489"/>
            <w:bookmarkStart w:id="310" w:name="_Toc492372454"/>
            <w:bookmarkStart w:id="311" w:name="_Toc483398278"/>
            <w:bookmarkStart w:id="312" w:name="_Toc492372600"/>
            <w:bookmarkStart w:id="313" w:name="_Toc483588182"/>
            <w:bookmarkStart w:id="314" w:name="_Toc496881022"/>
            <w:bookmarkStart w:id="315" w:name="_Toc483578689"/>
            <w:bookmarkStart w:id="316" w:name="_Toc496771285"/>
            <w:r>
              <w:rPr>
                <w:rFonts w:hint="eastAsia" w:ascii="宋体" w:hAnsi="宋体" w:eastAsia="宋体"/>
                <w:sz w:val="18"/>
                <w:szCs w:val="18"/>
              </w:rPr>
              <w:t>≤110</w:t>
            </w:r>
            <w:bookmarkEnd w:id="308"/>
            <w:bookmarkEnd w:id="309"/>
            <w:bookmarkEnd w:id="310"/>
            <w:bookmarkEnd w:id="311"/>
            <w:bookmarkEnd w:id="312"/>
            <w:bookmarkEnd w:id="313"/>
            <w:bookmarkEnd w:id="314"/>
            <w:bookmarkEnd w:id="315"/>
            <w:bookmarkEnd w:id="316"/>
          </w:p>
        </w:tc>
        <w:tc>
          <w:tcPr>
            <w:tcW w:w="1569" w:type="pct"/>
            <w:shd w:val="clear" w:color="auto" w:fill="auto"/>
            <w:vAlign w:val="center"/>
          </w:tcPr>
          <w:p w14:paraId="22F1B127">
            <w:pPr>
              <w:pStyle w:val="233"/>
              <w:numPr>
                <w:ilvl w:val="0"/>
                <w:numId w:val="0"/>
              </w:numPr>
              <w:spacing w:beforeLines="0" w:afterLines="0"/>
              <w:jc w:val="center"/>
              <w:rPr>
                <w:rFonts w:hint="eastAsia" w:ascii="宋体" w:hAnsi="宋体" w:eastAsia="宋体"/>
                <w:sz w:val="18"/>
                <w:szCs w:val="18"/>
              </w:rPr>
            </w:pPr>
            <w:r>
              <w:rPr>
                <w:rFonts w:hint="eastAsia" w:ascii="宋体" w:hAnsi="宋体" w:eastAsia="宋体"/>
                <w:sz w:val="18"/>
                <w:szCs w:val="18"/>
              </w:rPr>
              <w:t>≤</w:t>
            </w:r>
            <w:r>
              <w:rPr>
                <w:rFonts w:ascii="宋体" w:hAnsi="宋体" w:eastAsia="宋体"/>
                <w:sz w:val="18"/>
                <w:szCs w:val="18"/>
              </w:rPr>
              <w:t xml:space="preserve"> 102</w:t>
            </w:r>
          </w:p>
        </w:tc>
      </w:tr>
      <w:tr w14:paraId="68E1DA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861" w:type="pct"/>
            <w:shd w:val="clear" w:color="auto" w:fill="auto"/>
            <w:vAlign w:val="center"/>
          </w:tcPr>
          <w:p w14:paraId="227BC684">
            <w:pPr>
              <w:pStyle w:val="233"/>
              <w:numPr>
                <w:ilvl w:val="0"/>
                <w:numId w:val="0"/>
              </w:numPr>
              <w:spacing w:beforeLines="0" w:afterLines="0"/>
              <w:jc w:val="center"/>
              <w:rPr>
                <w:rFonts w:hint="eastAsia" w:ascii="宋体" w:hAnsi="宋体" w:eastAsia="宋体"/>
                <w:sz w:val="18"/>
                <w:szCs w:val="18"/>
              </w:rPr>
            </w:pPr>
            <w:bookmarkStart w:id="317" w:name="_Toc496881023"/>
            <w:bookmarkStart w:id="318" w:name="_Toc492372601"/>
            <w:bookmarkStart w:id="319" w:name="_Toc483588183"/>
            <w:bookmarkStart w:id="320" w:name="_Toc483578690"/>
            <w:bookmarkStart w:id="321" w:name="_Toc492372455"/>
            <w:bookmarkStart w:id="322" w:name="_Toc496771286"/>
            <w:bookmarkStart w:id="323" w:name="_Toc483588719"/>
            <w:bookmarkStart w:id="324" w:name="_Toc483398279"/>
            <w:bookmarkStart w:id="325" w:name="_Toc502760490"/>
            <w:r>
              <w:rPr>
                <w:rFonts w:hint="eastAsia" w:ascii="宋体" w:hAnsi="宋体" w:eastAsia="宋体"/>
                <w:sz w:val="18"/>
                <w:szCs w:val="18"/>
              </w:rPr>
              <w:t>a</w:t>
            </w:r>
            <w:r>
              <w:rPr>
                <w:rFonts w:ascii="宋体" w:hAnsi="宋体" w:eastAsia="宋体"/>
                <w:sz w:val="18"/>
                <w:szCs w:val="18"/>
              </w:rPr>
              <w:t xml:space="preserve"> </w:t>
            </w:r>
            <w:r>
              <w:rPr>
                <w:rFonts w:hint="eastAsia" w:ascii="宋体" w:hAnsi="宋体" w:eastAsia="宋体"/>
                <w:sz w:val="18"/>
                <w:szCs w:val="18"/>
              </w:rPr>
              <w:t>＞ 80</w:t>
            </w:r>
            <w:bookmarkEnd w:id="317"/>
            <w:bookmarkEnd w:id="318"/>
            <w:bookmarkEnd w:id="319"/>
            <w:bookmarkEnd w:id="320"/>
            <w:bookmarkEnd w:id="321"/>
            <w:bookmarkEnd w:id="322"/>
            <w:bookmarkEnd w:id="323"/>
            <w:bookmarkEnd w:id="324"/>
            <w:bookmarkEnd w:id="325"/>
            <w:r>
              <w:rPr>
                <w:rFonts w:ascii="宋体" w:hAnsi="宋体" w:eastAsia="宋体"/>
                <w:sz w:val="18"/>
                <w:szCs w:val="18"/>
              </w:rPr>
              <w:t xml:space="preserve"> </w:t>
            </w:r>
            <w:r>
              <w:rPr>
                <w:rFonts w:hint="eastAsia" w:ascii="宋体" w:hAnsi="宋体" w:eastAsia="宋体"/>
                <w:sz w:val="18"/>
                <w:szCs w:val="18"/>
              </w:rPr>
              <w:t>％</w:t>
            </w:r>
          </w:p>
        </w:tc>
        <w:tc>
          <w:tcPr>
            <w:tcW w:w="1569" w:type="pct"/>
            <w:shd w:val="clear" w:color="auto" w:fill="auto"/>
            <w:vAlign w:val="center"/>
          </w:tcPr>
          <w:p w14:paraId="017B88D4">
            <w:pPr>
              <w:pStyle w:val="233"/>
              <w:numPr>
                <w:ilvl w:val="0"/>
                <w:numId w:val="0"/>
              </w:numPr>
              <w:spacing w:beforeLines="0" w:afterLines="0"/>
              <w:jc w:val="center"/>
              <w:rPr>
                <w:rFonts w:hint="eastAsia" w:ascii="宋体" w:hAnsi="宋体" w:eastAsia="宋体"/>
                <w:sz w:val="18"/>
                <w:szCs w:val="18"/>
              </w:rPr>
            </w:pPr>
            <w:bookmarkStart w:id="326" w:name="_Toc492372456"/>
            <w:bookmarkStart w:id="327" w:name="_Toc496771287"/>
            <w:bookmarkStart w:id="328" w:name="_Toc483588184"/>
            <w:bookmarkStart w:id="329" w:name="_Toc496881024"/>
            <w:bookmarkStart w:id="330" w:name="_Toc483588720"/>
            <w:bookmarkStart w:id="331" w:name="_Toc483398280"/>
            <w:bookmarkStart w:id="332" w:name="_Toc492372602"/>
            <w:bookmarkStart w:id="333" w:name="_Toc502760491"/>
            <w:bookmarkStart w:id="334" w:name="_Toc483578691"/>
            <w:r>
              <w:rPr>
                <w:rFonts w:hint="eastAsia" w:ascii="宋体" w:hAnsi="宋体" w:eastAsia="宋体"/>
                <w:sz w:val="18"/>
                <w:szCs w:val="18"/>
              </w:rPr>
              <w:t>≤136</w:t>
            </w:r>
            <w:bookmarkEnd w:id="326"/>
            <w:bookmarkEnd w:id="327"/>
            <w:bookmarkEnd w:id="328"/>
            <w:bookmarkEnd w:id="329"/>
            <w:bookmarkEnd w:id="330"/>
            <w:bookmarkEnd w:id="331"/>
            <w:bookmarkEnd w:id="332"/>
            <w:bookmarkEnd w:id="333"/>
            <w:bookmarkEnd w:id="334"/>
          </w:p>
        </w:tc>
        <w:tc>
          <w:tcPr>
            <w:tcW w:w="1569" w:type="pct"/>
            <w:shd w:val="clear" w:color="auto" w:fill="auto"/>
            <w:vAlign w:val="center"/>
          </w:tcPr>
          <w:p w14:paraId="7B3CDC71">
            <w:pPr>
              <w:pStyle w:val="233"/>
              <w:numPr>
                <w:ilvl w:val="0"/>
                <w:numId w:val="0"/>
              </w:numPr>
              <w:spacing w:beforeLines="0" w:afterLines="0"/>
              <w:jc w:val="center"/>
              <w:rPr>
                <w:rFonts w:hint="eastAsia" w:ascii="宋体" w:hAnsi="宋体" w:eastAsia="宋体"/>
                <w:sz w:val="18"/>
                <w:szCs w:val="18"/>
              </w:rPr>
            </w:pPr>
            <w:r>
              <w:rPr>
                <w:rFonts w:hint="eastAsia" w:ascii="宋体" w:hAnsi="宋体" w:eastAsia="宋体"/>
                <w:sz w:val="18"/>
                <w:szCs w:val="18"/>
              </w:rPr>
              <w:t>≤</w:t>
            </w:r>
            <w:r>
              <w:rPr>
                <w:rFonts w:ascii="宋体" w:hAnsi="宋体" w:eastAsia="宋体"/>
                <w:sz w:val="18"/>
                <w:szCs w:val="18"/>
              </w:rPr>
              <w:t xml:space="preserve"> 127</w:t>
            </w:r>
          </w:p>
        </w:tc>
      </w:tr>
      <w:tr w14:paraId="0D3BCF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5000" w:type="pct"/>
            <w:gridSpan w:val="3"/>
            <w:shd w:val="clear" w:color="auto" w:fill="auto"/>
            <w:vAlign w:val="center"/>
          </w:tcPr>
          <w:p w14:paraId="3B858B3F">
            <w:pPr>
              <w:pStyle w:val="182"/>
              <w:numPr>
                <w:ilvl w:val="0"/>
                <w:numId w:val="0"/>
              </w:numPr>
              <w:ind w:left="363"/>
            </w:pPr>
            <w:r>
              <w:rPr>
                <w:rFonts w:hint="eastAsia"/>
              </w:rPr>
              <w:t>a为发酵乳产量占全厂液态乳总产量的百分比。</w:t>
            </w:r>
          </w:p>
        </w:tc>
      </w:tr>
    </w:tbl>
    <w:p w14:paraId="4A888CCD">
      <w:pPr>
        <w:pStyle w:val="108"/>
        <w:spacing w:before="156" w:after="156"/>
      </w:pPr>
      <w:bookmarkStart w:id="335" w:name="_Toc32323"/>
      <w:bookmarkStart w:id="336" w:name="_Toc5962"/>
      <w:bookmarkStart w:id="337" w:name="_Toc175690940"/>
      <w:bookmarkStart w:id="338" w:name="_Toc175504954"/>
      <w:bookmarkStart w:id="339" w:name="_Toc22579"/>
      <w:r>
        <w:rPr>
          <w:rFonts w:hint="eastAsia"/>
        </w:rPr>
        <w:t>白酒</w:t>
      </w:r>
      <w:bookmarkEnd w:id="335"/>
      <w:bookmarkEnd w:id="336"/>
      <w:bookmarkEnd w:id="337"/>
      <w:bookmarkEnd w:id="338"/>
      <w:bookmarkEnd w:id="339"/>
    </w:p>
    <w:p w14:paraId="738E73EE">
      <w:pPr>
        <w:pStyle w:val="68"/>
        <w:spacing w:before="156" w:after="156"/>
      </w:pPr>
      <w:r>
        <w:rPr>
          <w:rFonts w:hint="eastAsia"/>
        </w:rPr>
        <w:t>适用对象</w:t>
      </w:r>
    </w:p>
    <w:p w14:paraId="3B025B09">
      <w:pPr>
        <w:pStyle w:val="59"/>
        <w:spacing w:before="156" w:after="156"/>
        <w:ind w:firstLine="420"/>
      </w:pPr>
      <w:r>
        <w:rPr>
          <w:rFonts w:hint="eastAsia"/>
        </w:rPr>
        <w:t>适用于采用固态法生产浓香型白酒与芝麻香型白酒生产企业进行单位产品能耗的计算、考核</w:t>
      </w:r>
      <w:r>
        <w:t>和新建、改扩建项目的能耗控制。</w:t>
      </w:r>
    </w:p>
    <w:p w14:paraId="646B3F8F">
      <w:pPr>
        <w:pStyle w:val="68"/>
        <w:spacing w:before="156" w:after="156"/>
      </w:pPr>
      <w:r>
        <w:rPr>
          <w:rFonts w:hint="eastAsia"/>
        </w:rPr>
        <w:t>白酒原酒单位产品综合能耗限定值和准入值</w:t>
      </w:r>
    </w:p>
    <w:p w14:paraId="0172423F">
      <w:pPr>
        <w:pStyle w:val="59"/>
        <w:ind w:firstLine="420"/>
      </w:pPr>
      <w:r>
        <w:rPr>
          <w:rFonts w:hint="eastAsia"/>
        </w:rPr>
        <w:t>现有企业白酒原酒单位产品综合能耗限定值，新建企业、现有企业改扩建项目白酒原酒单位产品综合能耗准入值应符合表3的规定。</w:t>
      </w:r>
    </w:p>
    <w:p w14:paraId="17641094">
      <w:pPr>
        <w:pStyle w:val="115"/>
        <w:spacing w:before="156" w:after="156"/>
      </w:pPr>
      <w:r>
        <w:rPr>
          <w:rFonts w:hint="eastAsia"/>
        </w:rPr>
        <w:t>白酒原酒单位产品综合能耗限定值和准入值</w:t>
      </w:r>
    </w:p>
    <w:tbl>
      <w:tblPr>
        <w:tblStyle w:val="28"/>
        <w:tblW w:w="506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66"/>
        <w:gridCol w:w="3538"/>
        <w:gridCol w:w="3582"/>
      </w:tblGrid>
      <w:tr w14:paraId="77100E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7" w:type="pct"/>
            <w:tcBorders>
              <w:top w:val="single" w:color="auto" w:sz="8" w:space="0"/>
              <w:bottom w:val="single" w:color="auto" w:sz="8" w:space="0"/>
            </w:tcBorders>
            <w:shd w:val="clear" w:color="auto" w:fill="auto"/>
            <w:vAlign w:val="center"/>
          </w:tcPr>
          <w:p w14:paraId="74DCBF40">
            <w:pPr>
              <w:spacing w:line="240" w:lineRule="auto"/>
              <w:jc w:val="center"/>
              <w:rPr>
                <w:rFonts w:hint="eastAsia" w:ascii="宋体" w:hAnsi="宋体"/>
                <w:spacing w:val="20"/>
                <w:sz w:val="18"/>
                <w:szCs w:val="18"/>
              </w:rPr>
            </w:pPr>
            <w:r>
              <w:rPr>
                <w:rFonts w:hint="eastAsia" w:ascii="宋体" w:hAnsi="宋体"/>
                <w:sz w:val="18"/>
                <w:szCs w:val="18"/>
              </w:rPr>
              <w:t>类 别</w:t>
            </w:r>
          </w:p>
        </w:tc>
        <w:tc>
          <w:tcPr>
            <w:tcW w:w="1865" w:type="pct"/>
            <w:tcBorders>
              <w:top w:val="single" w:color="auto" w:sz="8" w:space="0"/>
              <w:bottom w:val="single" w:color="auto" w:sz="8" w:space="0"/>
            </w:tcBorders>
            <w:shd w:val="clear" w:color="auto" w:fill="auto"/>
            <w:vAlign w:val="center"/>
          </w:tcPr>
          <w:p w14:paraId="53A1FC83">
            <w:pPr>
              <w:snapToGrid w:val="0"/>
              <w:spacing w:line="240" w:lineRule="auto"/>
              <w:jc w:val="center"/>
              <w:rPr>
                <w:rFonts w:hint="eastAsia" w:ascii="宋体" w:hAnsi="宋体"/>
                <w:sz w:val="18"/>
                <w:szCs w:val="18"/>
              </w:rPr>
            </w:pPr>
            <w:r>
              <w:rPr>
                <w:rFonts w:hint="eastAsia" w:ascii="宋体" w:hAnsi="宋体"/>
                <w:sz w:val="18"/>
                <w:szCs w:val="18"/>
              </w:rPr>
              <w:t>单位产品综合能耗限定值</w:t>
            </w:r>
          </w:p>
          <w:p w14:paraId="0861125F">
            <w:pPr>
              <w:snapToGrid w:val="0"/>
              <w:spacing w:line="240" w:lineRule="auto"/>
              <w:jc w:val="center"/>
              <w:rPr>
                <w:rFonts w:hint="eastAsia" w:ascii="宋体" w:hAnsi="宋体"/>
                <w:sz w:val="18"/>
                <w:szCs w:val="18"/>
                <w:vertAlign w:val="superscript"/>
              </w:rPr>
            </w:pPr>
            <w:r>
              <w:rPr>
                <w:rFonts w:hint="eastAsia" w:ascii="宋体" w:hAnsi="宋体"/>
                <w:sz w:val="18"/>
                <w:szCs w:val="18"/>
              </w:rPr>
              <w:t>kgce/kL</w:t>
            </w:r>
          </w:p>
        </w:tc>
        <w:tc>
          <w:tcPr>
            <w:tcW w:w="3573" w:type="dxa"/>
            <w:tcBorders>
              <w:top w:val="single" w:color="auto" w:sz="8" w:space="0"/>
              <w:bottom w:val="single" w:color="auto" w:sz="8" w:space="0"/>
            </w:tcBorders>
            <w:shd w:val="clear" w:color="auto" w:fill="auto"/>
            <w:vAlign w:val="center"/>
          </w:tcPr>
          <w:p w14:paraId="0F0A85C1">
            <w:pPr>
              <w:snapToGrid w:val="0"/>
              <w:spacing w:line="240" w:lineRule="auto"/>
              <w:jc w:val="center"/>
              <w:rPr>
                <w:rFonts w:hint="eastAsia" w:ascii="宋体" w:hAnsi="宋体"/>
                <w:sz w:val="18"/>
                <w:szCs w:val="18"/>
              </w:rPr>
            </w:pPr>
            <w:r>
              <w:rPr>
                <w:rFonts w:hint="eastAsia" w:ascii="宋体" w:hAnsi="宋体"/>
                <w:sz w:val="18"/>
                <w:szCs w:val="18"/>
              </w:rPr>
              <w:t>单位产品综合能耗准入值</w:t>
            </w:r>
          </w:p>
          <w:p w14:paraId="21B9FC48">
            <w:pPr>
              <w:snapToGrid w:val="0"/>
              <w:spacing w:line="240" w:lineRule="auto"/>
              <w:jc w:val="center"/>
              <w:rPr>
                <w:rFonts w:hint="eastAsia" w:ascii="宋体" w:hAnsi="宋体"/>
                <w:sz w:val="18"/>
                <w:szCs w:val="18"/>
                <w:vertAlign w:val="superscript"/>
              </w:rPr>
            </w:pPr>
            <w:r>
              <w:rPr>
                <w:rFonts w:hint="eastAsia" w:ascii="宋体" w:hAnsi="宋体"/>
                <w:sz w:val="18"/>
                <w:szCs w:val="18"/>
              </w:rPr>
              <w:t>kgce/kL</w:t>
            </w:r>
          </w:p>
        </w:tc>
      </w:tr>
      <w:tr w14:paraId="0D67C4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7" w:type="pct"/>
            <w:tcBorders>
              <w:top w:val="single" w:color="auto" w:sz="8" w:space="0"/>
            </w:tcBorders>
            <w:shd w:val="clear" w:color="auto" w:fill="auto"/>
            <w:vAlign w:val="center"/>
          </w:tcPr>
          <w:p w14:paraId="3E037560">
            <w:pPr>
              <w:spacing w:line="240" w:lineRule="auto"/>
              <w:jc w:val="center"/>
              <w:rPr>
                <w:rFonts w:hint="eastAsia" w:ascii="宋体" w:hAnsi="宋体"/>
                <w:sz w:val="18"/>
                <w:szCs w:val="18"/>
              </w:rPr>
            </w:pPr>
            <w:r>
              <w:rPr>
                <w:rFonts w:hint="eastAsia" w:ascii="宋体" w:hAnsi="宋体"/>
                <w:sz w:val="18"/>
                <w:szCs w:val="18"/>
              </w:rPr>
              <w:t>浓香型白酒</w:t>
            </w:r>
          </w:p>
        </w:tc>
        <w:tc>
          <w:tcPr>
            <w:tcW w:w="1865" w:type="pct"/>
            <w:tcBorders>
              <w:top w:val="single" w:color="auto" w:sz="8" w:space="0"/>
            </w:tcBorders>
            <w:shd w:val="clear" w:color="auto" w:fill="auto"/>
            <w:vAlign w:val="center"/>
          </w:tcPr>
          <w:p w14:paraId="25BAC642">
            <w:pPr>
              <w:spacing w:line="240" w:lineRule="auto"/>
              <w:jc w:val="center"/>
              <w:rPr>
                <w:rFonts w:hint="eastAsia" w:ascii="宋体" w:hAnsi="宋体"/>
                <w:spacing w:val="20"/>
                <w:sz w:val="18"/>
                <w:szCs w:val="18"/>
              </w:rPr>
            </w:pPr>
            <w:r>
              <w:rPr>
                <w:rFonts w:hint="eastAsia" w:ascii="宋体" w:hAnsi="宋体"/>
                <w:spacing w:val="20"/>
                <w:sz w:val="18"/>
                <w:szCs w:val="18"/>
              </w:rPr>
              <w:t>≤1345</w:t>
            </w:r>
          </w:p>
        </w:tc>
        <w:tc>
          <w:tcPr>
            <w:tcW w:w="3573" w:type="dxa"/>
            <w:tcBorders>
              <w:top w:val="single" w:color="auto" w:sz="8" w:space="0"/>
            </w:tcBorders>
            <w:shd w:val="clear" w:color="auto" w:fill="auto"/>
            <w:vAlign w:val="center"/>
          </w:tcPr>
          <w:p w14:paraId="0954986A">
            <w:pPr>
              <w:spacing w:line="240" w:lineRule="auto"/>
              <w:jc w:val="center"/>
              <w:rPr>
                <w:rFonts w:hint="eastAsia" w:ascii="宋体" w:hAnsi="宋体"/>
                <w:spacing w:val="20"/>
                <w:sz w:val="18"/>
                <w:szCs w:val="18"/>
              </w:rPr>
            </w:pPr>
            <w:r>
              <w:rPr>
                <w:rFonts w:hint="eastAsia" w:ascii="宋体" w:hAnsi="宋体"/>
                <w:spacing w:val="20"/>
                <w:sz w:val="18"/>
                <w:szCs w:val="18"/>
              </w:rPr>
              <w:t>≤1265</w:t>
            </w:r>
          </w:p>
        </w:tc>
      </w:tr>
      <w:tr w14:paraId="4884D0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47" w:type="pct"/>
            <w:shd w:val="clear" w:color="auto" w:fill="auto"/>
            <w:vAlign w:val="center"/>
          </w:tcPr>
          <w:p w14:paraId="60DA9F4A">
            <w:pPr>
              <w:spacing w:line="240" w:lineRule="auto"/>
              <w:jc w:val="center"/>
              <w:rPr>
                <w:rFonts w:hint="eastAsia" w:ascii="宋体" w:hAnsi="宋体"/>
                <w:sz w:val="18"/>
                <w:szCs w:val="18"/>
              </w:rPr>
            </w:pPr>
            <w:r>
              <w:rPr>
                <w:rFonts w:hint="eastAsia" w:ascii="宋体" w:hAnsi="宋体"/>
                <w:sz w:val="18"/>
                <w:szCs w:val="18"/>
              </w:rPr>
              <w:t>芝麻香型白酒</w:t>
            </w:r>
          </w:p>
        </w:tc>
        <w:tc>
          <w:tcPr>
            <w:tcW w:w="1865" w:type="pct"/>
            <w:shd w:val="clear" w:color="auto" w:fill="auto"/>
            <w:vAlign w:val="center"/>
          </w:tcPr>
          <w:p w14:paraId="3E1DBA2B">
            <w:pPr>
              <w:spacing w:line="240" w:lineRule="auto"/>
              <w:jc w:val="center"/>
              <w:rPr>
                <w:rFonts w:hint="eastAsia" w:ascii="宋体" w:hAnsi="宋体"/>
                <w:spacing w:val="20"/>
                <w:sz w:val="18"/>
                <w:szCs w:val="18"/>
              </w:rPr>
            </w:pPr>
            <w:r>
              <w:rPr>
                <w:rFonts w:hint="eastAsia" w:ascii="宋体" w:hAnsi="宋体"/>
                <w:spacing w:val="20"/>
                <w:sz w:val="18"/>
                <w:szCs w:val="18"/>
              </w:rPr>
              <w:t>≤1545</w:t>
            </w:r>
          </w:p>
        </w:tc>
        <w:tc>
          <w:tcPr>
            <w:tcW w:w="3573" w:type="dxa"/>
            <w:shd w:val="clear" w:color="auto" w:fill="auto"/>
            <w:vAlign w:val="center"/>
          </w:tcPr>
          <w:p w14:paraId="157BC6C3">
            <w:pPr>
              <w:spacing w:line="240" w:lineRule="auto"/>
              <w:jc w:val="center"/>
              <w:rPr>
                <w:rFonts w:hint="eastAsia" w:ascii="宋体" w:hAnsi="宋体"/>
                <w:spacing w:val="20"/>
                <w:sz w:val="18"/>
                <w:szCs w:val="18"/>
              </w:rPr>
            </w:pPr>
            <w:r>
              <w:rPr>
                <w:rFonts w:hint="eastAsia" w:ascii="宋体" w:hAnsi="宋体"/>
                <w:spacing w:val="20"/>
                <w:sz w:val="18"/>
                <w:szCs w:val="18"/>
              </w:rPr>
              <w:t>≤1520</w:t>
            </w:r>
          </w:p>
        </w:tc>
      </w:tr>
      <w:tr w14:paraId="2F8BD1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5000" w:type="pct"/>
            <w:gridSpan w:val="3"/>
            <w:shd w:val="clear" w:color="auto" w:fill="auto"/>
            <w:vAlign w:val="center"/>
          </w:tcPr>
          <w:p w14:paraId="2A4837A7">
            <w:pPr>
              <w:pStyle w:val="182"/>
              <w:rPr>
                <w:rFonts w:hint="eastAsia" w:hAnsi="宋体"/>
              </w:rPr>
            </w:pPr>
            <w:r>
              <w:rPr>
                <w:rFonts w:hAnsi="宋体"/>
              </w:rPr>
              <w:t>电力折标准煤系数采用0.1229 kgce/kW</w:t>
            </w:r>
            <w:r>
              <w:rPr>
                <w:rFonts w:hint="default" w:ascii="Times New Roman" w:hAnsi="Times New Roman" w:cs="Times New Roman"/>
                <w:sz w:val="18"/>
                <w:szCs w:val="18"/>
              </w:rPr>
              <w:t>·</w:t>
            </w:r>
            <w:r>
              <w:rPr>
                <w:rFonts w:hAnsi="宋体"/>
              </w:rPr>
              <w:t>h</w:t>
            </w:r>
            <w:r>
              <w:rPr>
                <w:rFonts w:hint="eastAsia" w:hAnsi="宋体"/>
              </w:rPr>
              <w:t>；</w:t>
            </w:r>
            <w:r>
              <w:rPr>
                <w:rFonts w:hAnsi="宋体"/>
                <w:spacing w:val="20"/>
              </w:rPr>
              <w:t>蒸汽（3.5 MPa级）</w:t>
            </w:r>
            <w:r>
              <w:rPr>
                <w:rFonts w:hAnsi="宋体"/>
              </w:rPr>
              <w:t>折标准煤系数采用0.1257 kgce/kg</w:t>
            </w:r>
            <w:r>
              <w:rPr>
                <w:rFonts w:hAnsi="宋体"/>
                <w:spacing w:val="20"/>
              </w:rPr>
              <w:t>；蒸汽（1.0 MPa级）</w:t>
            </w:r>
            <w:r>
              <w:rPr>
                <w:rFonts w:hAnsi="宋体"/>
              </w:rPr>
              <w:t>折标准煤系数采用0.1086 kgce/kg；</w:t>
            </w:r>
            <w:r>
              <w:rPr>
                <w:rFonts w:hAnsi="宋体"/>
                <w:spacing w:val="20"/>
              </w:rPr>
              <w:t>蒸汽（0.3 MPa级）</w:t>
            </w:r>
            <w:r>
              <w:rPr>
                <w:rFonts w:hAnsi="宋体"/>
              </w:rPr>
              <w:t>折标准煤系数采用0.09427 kgce/kg；</w:t>
            </w:r>
            <w:r>
              <w:rPr>
                <w:rFonts w:hAnsi="宋体"/>
                <w:spacing w:val="20"/>
              </w:rPr>
              <w:t>蒸汽（</w:t>
            </w:r>
            <w:r>
              <w:rPr>
                <w:rFonts w:hint="eastAsia" w:hAnsi="宋体"/>
                <w:spacing w:val="20"/>
              </w:rPr>
              <w:t>＜</w:t>
            </w:r>
            <w:r>
              <w:rPr>
                <w:rFonts w:hAnsi="宋体"/>
                <w:spacing w:val="20"/>
              </w:rPr>
              <w:t>0.3 MPa）</w:t>
            </w:r>
            <w:r>
              <w:rPr>
                <w:rFonts w:hAnsi="宋体"/>
              </w:rPr>
              <w:t>折标准煤系数采用0.07857 kgce/kg</w:t>
            </w:r>
            <w:r>
              <w:rPr>
                <w:rFonts w:hint="eastAsia" w:hAnsi="宋体"/>
              </w:rPr>
              <w:t>；新水折标准煤系数采用0.0857</w:t>
            </w:r>
            <w:r>
              <w:rPr>
                <w:rFonts w:hAnsi="宋体"/>
              </w:rPr>
              <w:t xml:space="preserve"> </w:t>
            </w:r>
            <w:r>
              <w:rPr>
                <w:rFonts w:hint="eastAsia" w:hAnsi="宋体"/>
              </w:rPr>
              <w:t>kgce/t</w:t>
            </w:r>
            <w:r>
              <w:rPr>
                <w:rFonts w:hAnsi="宋体"/>
              </w:rPr>
              <w:t>。</w:t>
            </w:r>
          </w:p>
        </w:tc>
      </w:tr>
    </w:tbl>
    <w:p w14:paraId="21EFAD3B">
      <w:pPr>
        <w:pStyle w:val="108"/>
        <w:spacing w:before="156" w:after="156"/>
      </w:pPr>
      <w:bookmarkStart w:id="340" w:name="_Toc26001"/>
      <w:bookmarkStart w:id="341" w:name="_Toc24825"/>
      <w:bookmarkStart w:id="342" w:name="_Toc175504955"/>
      <w:bookmarkStart w:id="343" w:name="_Toc175690941"/>
      <w:bookmarkStart w:id="344" w:name="_Toc19541"/>
      <w:r>
        <w:rPr>
          <w:rFonts w:hint="eastAsia"/>
        </w:rPr>
        <w:t>啤酒</w:t>
      </w:r>
      <w:bookmarkEnd w:id="340"/>
      <w:bookmarkEnd w:id="341"/>
      <w:bookmarkEnd w:id="342"/>
      <w:bookmarkEnd w:id="343"/>
      <w:bookmarkEnd w:id="344"/>
    </w:p>
    <w:p w14:paraId="02D57299">
      <w:pPr>
        <w:pStyle w:val="68"/>
        <w:spacing w:before="156" w:after="156"/>
      </w:pPr>
      <w:r>
        <w:rPr>
          <w:rFonts w:hint="eastAsia"/>
        </w:rPr>
        <w:t>适用对象</w:t>
      </w:r>
    </w:p>
    <w:p w14:paraId="519A19F8">
      <w:pPr>
        <w:pStyle w:val="59"/>
        <w:ind w:firstLine="420"/>
      </w:pPr>
      <w:r>
        <w:rPr>
          <w:rFonts w:hint="eastAsia"/>
        </w:rPr>
        <w:t>适用于啤酒生产企业单位产品能耗的计算、考核与评价</w:t>
      </w:r>
      <w:r>
        <w:t>。</w:t>
      </w:r>
    </w:p>
    <w:p w14:paraId="1FE31664">
      <w:pPr>
        <w:pStyle w:val="68"/>
        <w:spacing w:before="156" w:after="156"/>
      </w:pPr>
      <w:r>
        <w:rPr>
          <w:rFonts w:hint="eastAsia"/>
        </w:rPr>
        <w:t>啤酒单位产品综合能耗限定值</w:t>
      </w:r>
    </w:p>
    <w:p w14:paraId="65DEB5E5">
      <w:pPr>
        <w:pStyle w:val="59"/>
        <w:ind w:firstLine="420"/>
      </w:pPr>
      <w:r>
        <w:rPr>
          <w:rFonts w:hint="eastAsia"/>
        </w:rPr>
        <w:t>现有企业啤酒单位产品综合能耗限定值应符合表4的规定。</w:t>
      </w:r>
    </w:p>
    <w:p w14:paraId="2BF4FB8B">
      <w:pPr>
        <w:pStyle w:val="59"/>
        <w:ind w:firstLine="420"/>
      </w:pPr>
    </w:p>
    <w:p w14:paraId="7062C5CE">
      <w:pPr>
        <w:pStyle w:val="59"/>
        <w:ind w:firstLine="420"/>
      </w:pPr>
    </w:p>
    <w:p w14:paraId="184B6686">
      <w:pPr>
        <w:pStyle w:val="59"/>
        <w:ind w:firstLine="420"/>
      </w:pPr>
    </w:p>
    <w:p w14:paraId="1FA8F1BB">
      <w:pPr>
        <w:pStyle w:val="115"/>
        <w:spacing w:before="156" w:after="156"/>
      </w:pPr>
      <w:r>
        <w:rPr>
          <w:rFonts w:hint="eastAsia"/>
        </w:rPr>
        <w:t>啤酒单位产品综合能耗限定值</w:t>
      </w:r>
    </w:p>
    <w:tbl>
      <w:tblPr>
        <w:tblStyle w:val="28"/>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87"/>
        <w:gridCol w:w="4687"/>
      </w:tblGrid>
      <w:tr w14:paraId="078AD5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500" w:type="pct"/>
            <w:tcBorders>
              <w:top w:val="single" w:color="auto" w:sz="8" w:space="0"/>
              <w:bottom w:val="single" w:color="auto" w:sz="8" w:space="0"/>
            </w:tcBorders>
            <w:shd w:val="clear" w:color="auto" w:fill="auto"/>
            <w:vAlign w:val="center"/>
          </w:tcPr>
          <w:p w14:paraId="2F4E5E9D">
            <w:pPr>
              <w:spacing w:line="240" w:lineRule="auto"/>
              <w:jc w:val="center"/>
              <w:rPr>
                <w:rFonts w:hint="eastAsia" w:ascii="宋体" w:hAnsi="宋体"/>
                <w:sz w:val="18"/>
                <w:szCs w:val="18"/>
              </w:rPr>
            </w:pPr>
            <w:r>
              <w:rPr>
                <w:rFonts w:hint="eastAsia" w:ascii="宋体" w:hAnsi="宋体"/>
                <w:sz w:val="18"/>
                <w:szCs w:val="18"/>
              </w:rPr>
              <w:t>类别</w:t>
            </w:r>
          </w:p>
        </w:tc>
        <w:tc>
          <w:tcPr>
            <w:tcW w:w="2500" w:type="pct"/>
            <w:tcBorders>
              <w:top w:val="single" w:color="auto" w:sz="8" w:space="0"/>
              <w:bottom w:val="single" w:color="auto" w:sz="8" w:space="0"/>
            </w:tcBorders>
            <w:shd w:val="clear" w:color="auto" w:fill="auto"/>
            <w:vAlign w:val="center"/>
          </w:tcPr>
          <w:p w14:paraId="6C90720B">
            <w:pPr>
              <w:snapToGrid w:val="0"/>
              <w:spacing w:line="240" w:lineRule="auto"/>
              <w:jc w:val="center"/>
              <w:rPr>
                <w:rFonts w:hint="eastAsia" w:ascii="宋体" w:hAnsi="宋体"/>
                <w:sz w:val="18"/>
                <w:szCs w:val="18"/>
              </w:rPr>
            </w:pPr>
            <w:r>
              <w:rPr>
                <w:rFonts w:hint="eastAsia" w:ascii="宋体" w:hAnsi="宋体"/>
                <w:sz w:val="18"/>
                <w:szCs w:val="18"/>
              </w:rPr>
              <w:t>单位产品综合能耗限定值</w:t>
            </w:r>
          </w:p>
          <w:p w14:paraId="7C73F4FF">
            <w:pPr>
              <w:snapToGrid w:val="0"/>
              <w:spacing w:line="240" w:lineRule="auto"/>
              <w:jc w:val="center"/>
              <w:rPr>
                <w:rFonts w:hint="eastAsia" w:ascii="宋体" w:hAnsi="宋体"/>
                <w:sz w:val="18"/>
                <w:szCs w:val="18"/>
              </w:rPr>
            </w:pPr>
            <w:r>
              <w:rPr>
                <w:rFonts w:hint="eastAsia" w:ascii="宋体" w:hAnsi="宋体"/>
                <w:sz w:val="18"/>
                <w:szCs w:val="18"/>
              </w:rPr>
              <w:t>kgce/kL</w:t>
            </w:r>
          </w:p>
        </w:tc>
      </w:tr>
      <w:tr w14:paraId="5DAF14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500" w:type="pct"/>
            <w:tcBorders>
              <w:top w:val="single" w:color="auto" w:sz="8" w:space="0"/>
            </w:tcBorders>
            <w:shd w:val="clear" w:color="auto" w:fill="auto"/>
            <w:vAlign w:val="center"/>
          </w:tcPr>
          <w:p w14:paraId="741FC5AE">
            <w:pPr>
              <w:spacing w:line="240" w:lineRule="auto"/>
              <w:jc w:val="center"/>
              <w:rPr>
                <w:rFonts w:hint="eastAsia" w:ascii="宋体" w:hAnsi="宋体"/>
                <w:sz w:val="18"/>
                <w:szCs w:val="18"/>
              </w:rPr>
            </w:pPr>
            <w:r>
              <w:rPr>
                <w:rFonts w:hint="eastAsia" w:ascii="宋体" w:hAnsi="宋体"/>
                <w:sz w:val="18"/>
                <w:szCs w:val="18"/>
              </w:rPr>
              <w:t>啤酒</w:t>
            </w:r>
          </w:p>
        </w:tc>
        <w:tc>
          <w:tcPr>
            <w:tcW w:w="2500" w:type="pct"/>
            <w:tcBorders>
              <w:top w:val="single" w:color="auto" w:sz="8" w:space="0"/>
            </w:tcBorders>
            <w:shd w:val="clear" w:color="auto" w:fill="auto"/>
            <w:vAlign w:val="center"/>
          </w:tcPr>
          <w:p w14:paraId="01EF8ADE">
            <w:pPr>
              <w:spacing w:line="240" w:lineRule="auto"/>
              <w:jc w:val="center"/>
              <w:rPr>
                <w:rFonts w:hint="eastAsia" w:ascii="宋体" w:hAnsi="宋体"/>
                <w:spacing w:val="20"/>
                <w:sz w:val="18"/>
                <w:szCs w:val="18"/>
              </w:rPr>
            </w:pPr>
            <w:r>
              <w:rPr>
                <w:rFonts w:hint="eastAsia" w:ascii="宋体" w:hAnsi="宋体"/>
                <w:spacing w:val="20"/>
                <w:sz w:val="18"/>
                <w:szCs w:val="18"/>
              </w:rPr>
              <w:t>≤</w:t>
            </w:r>
            <w:r>
              <w:rPr>
                <w:rFonts w:ascii="宋体" w:hAnsi="宋体"/>
                <w:spacing w:val="20"/>
                <w:sz w:val="18"/>
                <w:szCs w:val="18"/>
              </w:rPr>
              <w:t>55</w:t>
            </w:r>
          </w:p>
        </w:tc>
      </w:tr>
      <w:tr w14:paraId="0B9257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5000" w:type="pct"/>
            <w:gridSpan w:val="2"/>
            <w:shd w:val="clear" w:color="auto" w:fill="auto"/>
            <w:vAlign w:val="center"/>
          </w:tcPr>
          <w:p w14:paraId="20AF9921">
            <w:pPr>
              <w:pStyle w:val="182"/>
              <w:rPr>
                <w:rFonts w:hint="eastAsia" w:hAnsi="宋体"/>
              </w:rPr>
            </w:pPr>
            <w:r>
              <w:rPr>
                <w:rFonts w:hAnsi="宋体"/>
              </w:rPr>
              <w:t>电力折标准煤系数</w:t>
            </w:r>
            <w:r>
              <w:rPr>
                <w:rFonts w:hint="eastAsia" w:hAnsi="宋体"/>
              </w:rPr>
              <w:t>采用0.1229</w:t>
            </w:r>
            <w:r>
              <w:rPr>
                <w:rFonts w:hAnsi="宋体"/>
              </w:rPr>
              <w:t xml:space="preserve"> kgce</w:t>
            </w:r>
            <w:r>
              <w:rPr>
                <w:rFonts w:hAnsi="宋体"/>
                <w:spacing w:val="20"/>
              </w:rPr>
              <w:t>/</w:t>
            </w:r>
            <w:r>
              <w:rPr>
                <w:rFonts w:hAnsi="宋体"/>
              </w:rPr>
              <w:t>kW</w:t>
            </w:r>
            <w:r>
              <w:rPr>
                <w:rFonts w:hint="default" w:ascii="Times New Roman" w:hAnsi="Times New Roman" w:cs="Times New Roman"/>
                <w:sz w:val="18"/>
                <w:szCs w:val="18"/>
              </w:rPr>
              <w:t>·</w:t>
            </w:r>
            <w:r>
              <w:rPr>
                <w:rFonts w:hAnsi="宋体"/>
              </w:rPr>
              <w:t>h</w:t>
            </w:r>
            <w:r>
              <w:rPr>
                <w:rFonts w:hint="eastAsia" w:hAnsi="宋体"/>
              </w:rPr>
              <w:t>；新水折标准煤系数采用0.0857</w:t>
            </w:r>
            <w:r>
              <w:rPr>
                <w:rFonts w:hAnsi="宋体"/>
              </w:rPr>
              <w:t xml:space="preserve"> </w:t>
            </w:r>
            <w:r>
              <w:rPr>
                <w:rFonts w:hint="eastAsia" w:hAnsi="宋体"/>
              </w:rPr>
              <w:t>kgce/t</w:t>
            </w:r>
            <w:r>
              <w:rPr>
                <w:rFonts w:hint="eastAsia" w:hAnsi="宋体"/>
                <w:spacing w:val="20"/>
              </w:rPr>
              <w:t>。</w:t>
            </w:r>
          </w:p>
        </w:tc>
      </w:tr>
    </w:tbl>
    <w:p w14:paraId="082C671E">
      <w:pPr>
        <w:pStyle w:val="108"/>
        <w:spacing w:before="156" w:after="156"/>
      </w:pPr>
      <w:bookmarkStart w:id="345" w:name="_Toc13873"/>
      <w:bookmarkStart w:id="346" w:name="_Toc175690942"/>
      <w:bookmarkStart w:id="347" w:name="_Toc18504"/>
      <w:bookmarkStart w:id="348" w:name="_Toc14187"/>
      <w:bookmarkStart w:id="349" w:name="_Toc175504956"/>
      <w:r>
        <w:rPr>
          <w:rFonts w:hint="eastAsia"/>
        </w:rPr>
        <w:t>卷烟</w:t>
      </w:r>
      <w:bookmarkEnd w:id="345"/>
      <w:bookmarkEnd w:id="346"/>
      <w:bookmarkEnd w:id="347"/>
      <w:bookmarkEnd w:id="348"/>
      <w:bookmarkEnd w:id="349"/>
    </w:p>
    <w:p w14:paraId="2A7C8F37">
      <w:pPr>
        <w:pStyle w:val="68"/>
        <w:spacing w:before="156" w:after="156"/>
      </w:pPr>
      <w:r>
        <w:rPr>
          <w:rFonts w:hint="eastAsia"/>
        </w:rPr>
        <w:t>适用对象</w:t>
      </w:r>
    </w:p>
    <w:p w14:paraId="078EF5FE">
      <w:pPr>
        <w:pStyle w:val="59"/>
        <w:ind w:firstLine="420"/>
      </w:pPr>
      <w:r>
        <w:rPr>
          <w:rFonts w:hint="eastAsia"/>
        </w:rPr>
        <w:t>适用于卷烟生产企业单位产品综合能耗的计算、考核、以及对新建及改扩建项目的能耗控制。</w:t>
      </w:r>
    </w:p>
    <w:p w14:paraId="127FCFEB">
      <w:pPr>
        <w:pStyle w:val="68"/>
        <w:spacing w:before="156" w:after="156"/>
      </w:pPr>
      <w:r>
        <w:rPr>
          <w:rFonts w:hint="eastAsia"/>
        </w:rPr>
        <w:t>卷烟单位产品综合能耗限定值</w:t>
      </w:r>
    </w:p>
    <w:p w14:paraId="4C581827">
      <w:pPr>
        <w:pStyle w:val="59"/>
        <w:ind w:firstLine="420"/>
      </w:pPr>
      <w:r>
        <w:rPr>
          <w:rFonts w:hint="eastAsia"/>
        </w:rPr>
        <w:t>现有企业卷烟单位产品综合能耗限定值应符合表5的规定。</w:t>
      </w:r>
    </w:p>
    <w:p w14:paraId="6AA36955">
      <w:pPr>
        <w:pStyle w:val="115"/>
        <w:spacing w:before="156" w:after="156"/>
      </w:pPr>
      <w:r>
        <w:rPr>
          <w:rFonts w:hint="eastAsia"/>
        </w:rPr>
        <w:t>卷烟单位产品综合能耗限定值</w:t>
      </w:r>
    </w:p>
    <w:tbl>
      <w:tblPr>
        <w:tblStyle w:val="28"/>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87"/>
        <w:gridCol w:w="4687"/>
      </w:tblGrid>
      <w:tr w14:paraId="24FD16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500" w:type="pct"/>
            <w:tcBorders>
              <w:top w:val="single" w:color="auto" w:sz="8" w:space="0"/>
              <w:bottom w:val="single" w:color="auto" w:sz="8" w:space="0"/>
            </w:tcBorders>
            <w:shd w:val="clear" w:color="auto" w:fill="auto"/>
            <w:vAlign w:val="center"/>
          </w:tcPr>
          <w:p w14:paraId="1A0CC191">
            <w:pPr>
              <w:spacing w:line="240" w:lineRule="auto"/>
              <w:jc w:val="center"/>
              <w:rPr>
                <w:rFonts w:hint="eastAsia" w:ascii="宋体" w:hAnsi="宋体"/>
                <w:sz w:val="18"/>
                <w:szCs w:val="18"/>
              </w:rPr>
            </w:pPr>
            <w:r>
              <w:rPr>
                <w:rFonts w:hint="eastAsia" w:ascii="宋体" w:hAnsi="宋体"/>
                <w:sz w:val="18"/>
                <w:szCs w:val="18"/>
              </w:rPr>
              <w:t>类别</w:t>
            </w:r>
          </w:p>
        </w:tc>
        <w:tc>
          <w:tcPr>
            <w:tcW w:w="2500" w:type="pct"/>
            <w:tcBorders>
              <w:top w:val="single" w:color="auto" w:sz="8" w:space="0"/>
              <w:bottom w:val="single" w:color="auto" w:sz="8" w:space="0"/>
            </w:tcBorders>
            <w:shd w:val="clear" w:color="auto" w:fill="auto"/>
            <w:vAlign w:val="center"/>
          </w:tcPr>
          <w:p w14:paraId="766A896D">
            <w:pPr>
              <w:snapToGrid w:val="0"/>
              <w:spacing w:line="240" w:lineRule="auto"/>
              <w:jc w:val="center"/>
              <w:rPr>
                <w:rFonts w:hint="eastAsia" w:ascii="宋体" w:hAnsi="宋体"/>
                <w:sz w:val="18"/>
                <w:szCs w:val="18"/>
              </w:rPr>
            </w:pPr>
            <w:r>
              <w:rPr>
                <w:rFonts w:hint="eastAsia" w:ascii="宋体" w:hAnsi="宋体"/>
                <w:sz w:val="18"/>
                <w:szCs w:val="18"/>
              </w:rPr>
              <w:t>单位产品综合能耗限定值</w:t>
            </w:r>
          </w:p>
          <w:p w14:paraId="70270BD0">
            <w:pPr>
              <w:snapToGrid w:val="0"/>
              <w:spacing w:line="240" w:lineRule="auto"/>
              <w:jc w:val="center"/>
              <w:rPr>
                <w:rFonts w:hint="eastAsia" w:ascii="宋体" w:hAnsi="宋体"/>
                <w:sz w:val="18"/>
                <w:szCs w:val="18"/>
              </w:rPr>
            </w:pPr>
            <w:r>
              <w:rPr>
                <w:rFonts w:hint="eastAsia" w:ascii="宋体" w:hAnsi="宋体"/>
                <w:sz w:val="18"/>
                <w:szCs w:val="18"/>
              </w:rPr>
              <w:t>kgce/万支</w:t>
            </w:r>
          </w:p>
        </w:tc>
      </w:tr>
      <w:tr w14:paraId="281423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500" w:type="pct"/>
            <w:tcBorders>
              <w:top w:val="single" w:color="auto" w:sz="8" w:space="0"/>
            </w:tcBorders>
            <w:shd w:val="clear" w:color="auto" w:fill="auto"/>
            <w:vAlign w:val="center"/>
          </w:tcPr>
          <w:p w14:paraId="1C4516A5">
            <w:pPr>
              <w:spacing w:line="240" w:lineRule="auto"/>
              <w:jc w:val="center"/>
              <w:rPr>
                <w:rFonts w:hint="eastAsia" w:ascii="宋体" w:hAnsi="宋体"/>
                <w:sz w:val="18"/>
                <w:szCs w:val="18"/>
              </w:rPr>
            </w:pPr>
            <w:r>
              <w:rPr>
                <w:rFonts w:hint="eastAsia" w:ascii="宋体" w:hAnsi="宋体"/>
                <w:sz w:val="18"/>
                <w:szCs w:val="18"/>
              </w:rPr>
              <w:t>卷烟</w:t>
            </w:r>
          </w:p>
        </w:tc>
        <w:tc>
          <w:tcPr>
            <w:tcW w:w="2500" w:type="pct"/>
            <w:tcBorders>
              <w:top w:val="single" w:color="auto" w:sz="8" w:space="0"/>
            </w:tcBorders>
            <w:shd w:val="clear" w:color="auto" w:fill="auto"/>
            <w:vAlign w:val="center"/>
          </w:tcPr>
          <w:p w14:paraId="21828AD0">
            <w:pPr>
              <w:spacing w:line="240" w:lineRule="auto"/>
              <w:jc w:val="center"/>
              <w:rPr>
                <w:rFonts w:hint="eastAsia" w:ascii="宋体" w:hAnsi="宋体"/>
                <w:spacing w:val="20"/>
                <w:sz w:val="18"/>
                <w:szCs w:val="18"/>
              </w:rPr>
            </w:pPr>
            <w:r>
              <w:rPr>
                <w:rFonts w:hint="eastAsia" w:ascii="宋体" w:hAnsi="宋体"/>
                <w:sz w:val="18"/>
                <w:szCs w:val="18"/>
              </w:rPr>
              <w:t>≤ 4.8</w:t>
            </w:r>
          </w:p>
        </w:tc>
      </w:tr>
      <w:tr w14:paraId="79268D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5000" w:type="pct"/>
            <w:gridSpan w:val="2"/>
            <w:shd w:val="clear" w:color="auto" w:fill="auto"/>
            <w:vAlign w:val="center"/>
          </w:tcPr>
          <w:p w14:paraId="279D3313">
            <w:pPr>
              <w:pStyle w:val="183"/>
              <w:numPr>
                <w:ilvl w:val="0"/>
                <w:numId w:val="32"/>
              </w:numPr>
              <w:rPr>
                <w:rFonts w:hint="eastAsia" w:hAnsi="宋体"/>
                <w:spacing w:val="20"/>
              </w:rPr>
            </w:pPr>
            <w:r>
              <w:rPr>
                <w:rFonts w:hAnsi="宋体"/>
              </w:rPr>
              <w:t>电力折标准煤系数</w:t>
            </w:r>
            <w:r>
              <w:rPr>
                <w:rFonts w:hint="eastAsia" w:hAnsi="宋体"/>
              </w:rPr>
              <w:t>采用0.1229</w:t>
            </w:r>
            <w:r>
              <w:rPr>
                <w:rFonts w:hAnsi="宋体"/>
              </w:rPr>
              <w:t>kgce</w:t>
            </w:r>
            <w:r>
              <w:rPr>
                <w:rFonts w:hAnsi="宋体"/>
                <w:spacing w:val="20"/>
              </w:rPr>
              <w:t>/</w:t>
            </w:r>
            <w:r>
              <w:rPr>
                <w:rFonts w:hAnsi="宋体"/>
              </w:rPr>
              <w:t>kW</w:t>
            </w:r>
            <w:r>
              <w:rPr>
                <w:rFonts w:hint="default" w:ascii="Times New Roman" w:hAnsi="Times New Roman" w:cs="Times New Roman"/>
                <w:sz w:val="18"/>
                <w:szCs w:val="18"/>
              </w:rPr>
              <w:t>·</w:t>
            </w:r>
            <w:r>
              <w:rPr>
                <w:rFonts w:hAnsi="宋体"/>
              </w:rPr>
              <w:t>h</w:t>
            </w:r>
            <w:r>
              <w:rPr>
                <w:rFonts w:hint="eastAsia" w:hAnsi="宋体"/>
                <w:spacing w:val="20"/>
              </w:rPr>
              <w:t>。</w:t>
            </w:r>
          </w:p>
          <w:p w14:paraId="54BD31A6">
            <w:pPr>
              <w:pStyle w:val="183"/>
              <w:numPr>
                <w:ilvl w:val="0"/>
                <w:numId w:val="32"/>
              </w:numPr>
              <w:rPr>
                <w:rFonts w:hint="eastAsia" w:hAnsi="宋体"/>
                <w:spacing w:val="20"/>
              </w:rPr>
            </w:pPr>
            <w:r>
              <w:rPr>
                <w:rFonts w:hint="eastAsia" w:hAnsi="宋体"/>
                <w:spacing w:val="20"/>
              </w:rPr>
              <w:t>企业有外销或外购烟丝（含膨胀烟丝、薄片）时，对卷烟产品产量进行修正。每外销4</w:t>
            </w:r>
            <w:r>
              <w:rPr>
                <w:rFonts w:hAnsi="宋体"/>
                <w:spacing w:val="20"/>
              </w:rPr>
              <w:t>0</w:t>
            </w:r>
            <w:r>
              <w:rPr>
                <w:rFonts w:hint="eastAsia" w:hAnsi="宋体"/>
                <w:spacing w:val="20"/>
              </w:rPr>
              <w:t>千克烟丝，相应增加3万支卷烟数量；每外购4</w:t>
            </w:r>
            <w:r>
              <w:rPr>
                <w:rFonts w:hAnsi="宋体"/>
                <w:spacing w:val="20"/>
              </w:rPr>
              <w:t>0</w:t>
            </w:r>
            <w:r>
              <w:rPr>
                <w:rFonts w:hint="eastAsia" w:hAnsi="宋体"/>
                <w:spacing w:val="20"/>
              </w:rPr>
              <w:t>千克烟丝，相应扣减3万支卷烟数量。</w:t>
            </w:r>
          </w:p>
        </w:tc>
      </w:tr>
    </w:tbl>
    <w:p w14:paraId="57157CDC">
      <w:pPr>
        <w:pStyle w:val="108"/>
        <w:spacing w:before="156" w:after="156"/>
      </w:pPr>
      <w:bookmarkStart w:id="350" w:name="_Toc27709"/>
      <w:bookmarkStart w:id="351" w:name="_Toc175504957"/>
      <w:bookmarkStart w:id="352" w:name="_Toc31954"/>
      <w:bookmarkStart w:id="353" w:name="_Toc21541"/>
      <w:bookmarkStart w:id="354" w:name="_Toc175690943"/>
      <w:r>
        <w:rPr>
          <w:rFonts w:hint="eastAsia"/>
        </w:rPr>
        <w:t>印染布</w:t>
      </w:r>
      <w:bookmarkEnd w:id="350"/>
      <w:bookmarkEnd w:id="351"/>
      <w:bookmarkEnd w:id="352"/>
      <w:bookmarkEnd w:id="353"/>
      <w:bookmarkEnd w:id="354"/>
    </w:p>
    <w:p w14:paraId="6E63F67C">
      <w:pPr>
        <w:pStyle w:val="68"/>
        <w:spacing w:before="156" w:after="156"/>
      </w:pPr>
      <w:r>
        <w:rPr>
          <w:rFonts w:hint="eastAsia"/>
        </w:rPr>
        <w:t>适用对象</w:t>
      </w:r>
    </w:p>
    <w:p w14:paraId="0BF3E8D6">
      <w:pPr>
        <w:pStyle w:val="59"/>
        <w:ind w:firstLine="420"/>
      </w:pPr>
      <w:r>
        <w:rPr>
          <w:rFonts w:hint="eastAsia"/>
        </w:rPr>
        <w:t>适用于棉型及化纤类印染企业单位产品能耗的计算、考核与评价，以及对新建、改扩建项目的能耗控制。</w:t>
      </w:r>
    </w:p>
    <w:p w14:paraId="273821E6">
      <w:pPr>
        <w:pStyle w:val="68"/>
        <w:spacing w:before="156" w:after="156"/>
      </w:pPr>
      <w:r>
        <w:rPr>
          <w:rFonts w:hint="eastAsia"/>
        </w:rPr>
        <w:t>印染布单位产量可比综合能耗限定值和准入值</w:t>
      </w:r>
    </w:p>
    <w:p w14:paraId="2F794B53">
      <w:pPr>
        <w:pStyle w:val="59"/>
        <w:ind w:firstLine="420"/>
      </w:pPr>
      <w:r>
        <w:rPr>
          <w:rFonts w:hint="eastAsia"/>
        </w:rPr>
        <w:t>现有企业印染布单位产量可比综合能耗限定值，新建企业、现有企业改扩建项目印染布单位产量可比综合能耗准入值应符合表6的规定。</w:t>
      </w:r>
    </w:p>
    <w:p w14:paraId="5B4B6FAA">
      <w:pPr>
        <w:pStyle w:val="115"/>
        <w:spacing w:before="156" w:after="156"/>
      </w:pPr>
      <w:r>
        <w:rPr>
          <w:rFonts w:hint="eastAsia"/>
        </w:rPr>
        <w:t>印染布单位产量可比综合能耗限定值和准入值</w:t>
      </w:r>
    </w:p>
    <w:tbl>
      <w:tblPr>
        <w:tblStyle w:val="28"/>
        <w:tblW w:w="502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705"/>
        <w:gridCol w:w="2351"/>
        <w:gridCol w:w="2355"/>
      </w:tblGrid>
      <w:tr w14:paraId="0B5E65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500" w:type="pct"/>
            <w:tcBorders>
              <w:top w:val="single" w:color="auto" w:sz="8" w:space="0"/>
              <w:bottom w:val="single" w:color="auto" w:sz="8" w:space="0"/>
            </w:tcBorders>
            <w:shd w:val="clear" w:color="auto" w:fill="auto"/>
            <w:vAlign w:val="center"/>
          </w:tcPr>
          <w:p w14:paraId="7807B5A8">
            <w:pPr>
              <w:spacing w:line="240" w:lineRule="auto"/>
              <w:jc w:val="center"/>
              <w:rPr>
                <w:rFonts w:hint="eastAsia" w:ascii="宋体" w:hAnsi="宋体"/>
                <w:sz w:val="18"/>
                <w:szCs w:val="18"/>
              </w:rPr>
            </w:pPr>
            <w:r>
              <w:rPr>
                <w:rFonts w:hint="eastAsia" w:ascii="宋体" w:hAnsi="宋体"/>
                <w:sz w:val="18"/>
                <w:szCs w:val="18"/>
              </w:rPr>
              <w:t>类别</w:t>
            </w:r>
          </w:p>
        </w:tc>
        <w:tc>
          <w:tcPr>
            <w:tcW w:w="1248" w:type="pct"/>
            <w:tcBorders>
              <w:top w:val="single" w:color="auto" w:sz="8" w:space="0"/>
              <w:bottom w:val="single" w:color="auto" w:sz="8" w:space="0"/>
            </w:tcBorders>
            <w:shd w:val="clear" w:color="auto" w:fill="auto"/>
            <w:vAlign w:val="center"/>
          </w:tcPr>
          <w:p w14:paraId="5AD0D342">
            <w:pPr>
              <w:pStyle w:val="234"/>
              <w:widowControl w:val="0"/>
              <w:snapToGrid w:val="0"/>
              <w:ind w:firstLine="0" w:firstLineChars="0"/>
              <w:jc w:val="center"/>
              <w:rPr>
                <w:rFonts w:hint="eastAsia" w:hAnsi="宋体"/>
                <w:sz w:val="18"/>
                <w:szCs w:val="18"/>
              </w:rPr>
            </w:pPr>
            <w:r>
              <w:rPr>
                <w:rFonts w:hint="eastAsia" w:hAnsi="宋体"/>
                <w:sz w:val="18"/>
                <w:szCs w:val="18"/>
              </w:rPr>
              <w:t>单位产量可比综合能耗限定值</w:t>
            </w:r>
          </w:p>
          <w:p w14:paraId="1845741B">
            <w:pPr>
              <w:snapToGrid w:val="0"/>
              <w:spacing w:line="240" w:lineRule="auto"/>
              <w:jc w:val="center"/>
              <w:rPr>
                <w:rFonts w:hint="eastAsia" w:ascii="宋体" w:hAnsi="宋体"/>
                <w:sz w:val="18"/>
                <w:szCs w:val="18"/>
              </w:rPr>
            </w:pPr>
            <w:r>
              <w:rPr>
                <w:rFonts w:hint="eastAsia" w:ascii="宋体" w:hAnsi="宋体"/>
                <w:sz w:val="18"/>
                <w:szCs w:val="18"/>
              </w:rPr>
              <w:t>kgce/hm</w:t>
            </w:r>
          </w:p>
        </w:tc>
        <w:tc>
          <w:tcPr>
            <w:tcW w:w="2357" w:type="dxa"/>
            <w:tcBorders>
              <w:top w:val="single" w:color="auto" w:sz="8" w:space="0"/>
              <w:bottom w:val="single" w:color="auto" w:sz="8" w:space="0"/>
            </w:tcBorders>
            <w:shd w:val="clear" w:color="auto" w:fill="auto"/>
            <w:vAlign w:val="center"/>
          </w:tcPr>
          <w:p w14:paraId="3B83DD37">
            <w:pPr>
              <w:pStyle w:val="234"/>
              <w:widowControl w:val="0"/>
              <w:snapToGrid w:val="0"/>
              <w:ind w:firstLine="0" w:firstLineChars="0"/>
              <w:jc w:val="center"/>
              <w:rPr>
                <w:rFonts w:hint="eastAsia" w:hAnsi="宋体"/>
                <w:sz w:val="18"/>
                <w:szCs w:val="18"/>
              </w:rPr>
            </w:pPr>
            <w:r>
              <w:rPr>
                <w:rFonts w:hint="eastAsia" w:hAnsi="宋体"/>
                <w:sz w:val="18"/>
                <w:szCs w:val="18"/>
              </w:rPr>
              <w:t>单位产量可比综合能耗准入值</w:t>
            </w:r>
          </w:p>
          <w:p w14:paraId="4CCA63AB">
            <w:pPr>
              <w:snapToGrid w:val="0"/>
              <w:spacing w:line="240" w:lineRule="auto"/>
              <w:jc w:val="center"/>
              <w:rPr>
                <w:rFonts w:hint="eastAsia" w:ascii="宋体" w:hAnsi="宋体"/>
                <w:sz w:val="18"/>
                <w:szCs w:val="18"/>
              </w:rPr>
            </w:pPr>
            <w:r>
              <w:rPr>
                <w:rFonts w:hint="eastAsia" w:ascii="宋体" w:hAnsi="宋体"/>
                <w:sz w:val="18"/>
                <w:szCs w:val="18"/>
              </w:rPr>
              <w:t>kgce/hm</w:t>
            </w:r>
          </w:p>
        </w:tc>
      </w:tr>
      <w:tr w14:paraId="73BBBD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500" w:type="pct"/>
            <w:tcBorders>
              <w:top w:val="single" w:color="auto" w:sz="8" w:space="0"/>
            </w:tcBorders>
            <w:shd w:val="clear" w:color="auto" w:fill="auto"/>
            <w:vAlign w:val="center"/>
          </w:tcPr>
          <w:p w14:paraId="3F57539A">
            <w:pPr>
              <w:pStyle w:val="234"/>
              <w:widowControl w:val="0"/>
              <w:ind w:firstLine="0" w:firstLineChars="0"/>
              <w:jc w:val="center"/>
              <w:rPr>
                <w:rFonts w:hint="eastAsia" w:hAnsi="宋体"/>
                <w:sz w:val="18"/>
                <w:szCs w:val="18"/>
              </w:rPr>
            </w:pPr>
            <w:r>
              <w:rPr>
                <w:rFonts w:hint="eastAsia" w:hAnsi="宋体"/>
                <w:sz w:val="18"/>
                <w:szCs w:val="18"/>
              </w:rPr>
              <w:t>印染布</w:t>
            </w:r>
          </w:p>
        </w:tc>
        <w:tc>
          <w:tcPr>
            <w:tcW w:w="1249" w:type="pct"/>
            <w:tcBorders>
              <w:top w:val="single" w:color="auto" w:sz="8" w:space="0"/>
            </w:tcBorders>
            <w:shd w:val="clear" w:color="auto" w:fill="auto"/>
            <w:vAlign w:val="center"/>
          </w:tcPr>
          <w:p w14:paraId="142F1769">
            <w:pPr>
              <w:pStyle w:val="234"/>
              <w:widowControl w:val="0"/>
              <w:ind w:firstLine="0" w:firstLineChars="0"/>
              <w:jc w:val="center"/>
              <w:rPr>
                <w:rFonts w:hint="eastAsia" w:hAnsi="宋体"/>
                <w:sz w:val="18"/>
                <w:szCs w:val="18"/>
              </w:rPr>
            </w:pPr>
            <w:r>
              <w:rPr>
                <w:rFonts w:hint="eastAsia" w:hAnsi="宋体"/>
                <w:sz w:val="18"/>
                <w:szCs w:val="18"/>
              </w:rPr>
              <w:t>≤ 35</w:t>
            </w:r>
          </w:p>
        </w:tc>
        <w:tc>
          <w:tcPr>
            <w:tcW w:w="2355" w:type="dxa"/>
            <w:tcBorders>
              <w:top w:val="single" w:color="auto" w:sz="8" w:space="0"/>
            </w:tcBorders>
            <w:shd w:val="clear" w:color="auto" w:fill="auto"/>
            <w:vAlign w:val="center"/>
          </w:tcPr>
          <w:p w14:paraId="6DA1D02A">
            <w:pPr>
              <w:pStyle w:val="234"/>
              <w:widowControl w:val="0"/>
              <w:ind w:firstLine="0" w:firstLineChars="0"/>
              <w:jc w:val="center"/>
              <w:rPr>
                <w:rFonts w:hint="eastAsia" w:hAnsi="宋体"/>
                <w:sz w:val="18"/>
                <w:szCs w:val="18"/>
              </w:rPr>
            </w:pPr>
            <w:r>
              <w:rPr>
                <w:rFonts w:hint="eastAsia" w:hAnsi="宋体"/>
                <w:sz w:val="18"/>
                <w:szCs w:val="18"/>
              </w:rPr>
              <w:t>≤32</w:t>
            </w:r>
          </w:p>
        </w:tc>
      </w:tr>
      <w:tr w14:paraId="49BE97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5000" w:type="pct"/>
            <w:gridSpan w:val="3"/>
            <w:shd w:val="clear" w:color="auto" w:fill="auto"/>
            <w:vAlign w:val="center"/>
          </w:tcPr>
          <w:p w14:paraId="046FA2A0">
            <w:pPr>
              <w:pStyle w:val="182"/>
              <w:rPr>
                <w:rFonts w:hint="eastAsia" w:hAnsi="宋体"/>
              </w:rPr>
            </w:pPr>
            <w:r>
              <w:rPr>
                <w:rFonts w:hAnsi="宋体"/>
              </w:rPr>
              <w:t>电力折标准煤系数</w:t>
            </w:r>
            <w:r>
              <w:rPr>
                <w:rFonts w:hint="eastAsia" w:hAnsi="宋体"/>
              </w:rPr>
              <w:t>采用0.1229</w:t>
            </w:r>
            <w:r>
              <w:rPr>
                <w:rFonts w:hAnsi="宋体"/>
              </w:rPr>
              <w:t xml:space="preserve"> kgce/kW</w:t>
            </w:r>
            <w:r>
              <w:rPr>
                <w:rFonts w:hint="default" w:ascii="Times New Roman" w:hAnsi="Times New Roman" w:cs="Times New Roman"/>
                <w:sz w:val="18"/>
                <w:szCs w:val="18"/>
              </w:rPr>
              <w:t>·</w:t>
            </w:r>
            <w:r>
              <w:rPr>
                <w:rFonts w:hAnsi="宋体"/>
              </w:rPr>
              <w:t>h</w:t>
            </w:r>
            <w:r>
              <w:rPr>
                <w:rFonts w:hint="eastAsia" w:hAnsi="宋体"/>
                <w:spacing w:val="20"/>
              </w:rPr>
              <w:t>。</w:t>
            </w:r>
          </w:p>
        </w:tc>
      </w:tr>
    </w:tbl>
    <w:p w14:paraId="2FD1D4AF">
      <w:pPr>
        <w:pStyle w:val="108"/>
        <w:spacing w:before="156" w:after="156"/>
      </w:pPr>
      <w:bookmarkStart w:id="355" w:name="_Toc175504958"/>
      <w:bookmarkStart w:id="356" w:name="_Toc22303"/>
      <w:bookmarkStart w:id="357" w:name="_Toc175690944"/>
      <w:bookmarkStart w:id="358" w:name="_Toc18835"/>
      <w:bookmarkStart w:id="359" w:name="_Toc32447"/>
      <w:r>
        <w:rPr>
          <w:rFonts w:hint="eastAsia"/>
        </w:rPr>
        <w:t>棉纱</w:t>
      </w:r>
      <w:bookmarkEnd w:id="355"/>
      <w:bookmarkEnd w:id="356"/>
      <w:bookmarkEnd w:id="357"/>
      <w:bookmarkEnd w:id="358"/>
      <w:bookmarkEnd w:id="359"/>
    </w:p>
    <w:p w14:paraId="1FD90F2C">
      <w:pPr>
        <w:pStyle w:val="68"/>
        <w:spacing w:before="156" w:after="156"/>
      </w:pPr>
      <w:r>
        <w:rPr>
          <w:rFonts w:hint="eastAsia"/>
        </w:rPr>
        <w:t>适用对象</w:t>
      </w:r>
    </w:p>
    <w:p w14:paraId="6527DD67">
      <w:pPr>
        <w:pStyle w:val="59"/>
        <w:ind w:firstLine="420"/>
      </w:pPr>
      <w:r>
        <w:rPr>
          <w:rFonts w:hint="eastAsia"/>
        </w:rPr>
        <w:t>适用于棉纺企业生产的纯棉纱、化纤纱和混纺纱等产品单位产量可比电耗的计算、考核与评价。</w:t>
      </w:r>
    </w:p>
    <w:p w14:paraId="4565B121">
      <w:pPr>
        <w:pStyle w:val="68"/>
        <w:spacing w:before="156" w:after="156"/>
      </w:pPr>
      <w:r>
        <w:rPr>
          <w:rFonts w:hint="eastAsia"/>
        </w:rPr>
        <w:t>棉纱单位产品综合能耗限定值</w:t>
      </w:r>
    </w:p>
    <w:p w14:paraId="69490A5D">
      <w:pPr>
        <w:pStyle w:val="59"/>
        <w:ind w:firstLine="420"/>
      </w:pPr>
      <w:r>
        <w:rPr>
          <w:rFonts w:hint="eastAsia"/>
        </w:rPr>
        <w:t>现有企业棉纱单位产量可比综合电耗限定值应符合表7的规定。</w:t>
      </w:r>
    </w:p>
    <w:p w14:paraId="321F87A6">
      <w:pPr>
        <w:pStyle w:val="115"/>
        <w:spacing w:before="156" w:after="156"/>
      </w:pPr>
      <w:r>
        <w:rPr>
          <w:rFonts w:hint="eastAsia"/>
        </w:rPr>
        <w:t>棉纱单位产量可比综合电耗限定值</w:t>
      </w:r>
    </w:p>
    <w:tbl>
      <w:tblPr>
        <w:tblStyle w:val="28"/>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89"/>
        <w:gridCol w:w="4685"/>
      </w:tblGrid>
      <w:tr w14:paraId="234610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501" w:type="pct"/>
            <w:tcBorders>
              <w:top w:val="single" w:color="auto" w:sz="8" w:space="0"/>
              <w:bottom w:val="single" w:color="auto" w:sz="8" w:space="0"/>
            </w:tcBorders>
            <w:shd w:val="clear" w:color="auto" w:fill="auto"/>
            <w:vAlign w:val="center"/>
          </w:tcPr>
          <w:p w14:paraId="7EA3BA6D">
            <w:pPr>
              <w:spacing w:line="240" w:lineRule="auto"/>
              <w:jc w:val="center"/>
              <w:rPr>
                <w:rFonts w:hint="eastAsia" w:ascii="宋体" w:hAnsi="宋体"/>
                <w:sz w:val="18"/>
                <w:szCs w:val="18"/>
              </w:rPr>
            </w:pPr>
            <w:r>
              <w:rPr>
                <w:rFonts w:hint="eastAsia" w:ascii="宋体" w:hAnsi="宋体"/>
                <w:sz w:val="18"/>
                <w:szCs w:val="18"/>
              </w:rPr>
              <w:t>类别</w:t>
            </w:r>
          </w:p>
        </w:tc>
        <w:tc>
          <w:tcPr>
            <w:tcW w:w="2499" w:type="pct"/>
            <w:tcBorders>
              <w:top w:val="single" w:color="auto" w:sz="8" w:space="0"/>
              <w:bottom w:val="single" w:color="auto" w:sz="8" w:space="0"/>
            </w:tcBorders>
            <w:shd w:val="clear" w:color="auto" w:fill="auto"/>
            <w:vAlign w:val="center"/>
          </w:tcPr>
          <w:p w14:paraId="6A33E09B">
            <w:pPr>
              <w:snapToGrid w:val="0"/>
              <w:spacing w:line="240" w:lineRule="auto"/>
              <w:jc w:val="center"/>
              <w:rPr>
                <w:rFonts w:hint="eastAsia" w:ascii="宋体" w:hAnsi="宋体"/>
                <w:b/>
                <w:bCs/>
                <w:sz w:val="18"/>
                <w:szCs w:val="18"/>
              </w:rPr>
            </w:pPr>
            <w:r>
              <w:rPr>
                <w:rFonts w:hint="eastAsia" w:ascii="宋体" w:hAnsi="宋体"/>
                <w:sz w:val="18"/>
                <w:szCs w:val="18"/>
              </w:rPr>
              <w:t>单位产量可比综合电耗限定值</w:t>
            </w:r>
          </w:p>
          <w:p w14:paraId="633C81A2">
            <w:pPr>
              <w:snapToGrid w:val="0"/>
              <w:spacing w:line="240" w:lineRule="auto"/>
              <w:jc w:val="center"/>
              <w:rPr>
                <w:rFonts w:hint="eastAsia" w:ascii="宋体" w:hAnsi="宋体"/>
                <w:sz w:val="18"/>
                <w:szCs w:val="18"/>
              </w:rPr>
            </w:pPr>
            <w:r>
              <w:rPr>
                <w:rFonts w:hint="eastAsia" w:ascii="宋体" w:hAnsi="宋体"/>
                <w:sz w:val="18"/>
                <w:szCs w:val="18"/>
              </w:rPr>
              <w:t>kW</w:t>
            </w:r>
            <w:r>
              <w:rPr>
                <w:rFonts w:hint="default" w:ascii="Times New Roman" w:hAnsi="Times New Roman" w:cs="Times New Roman"/>
                <w:sz w:val="18"/>
                <w:szCs w:val="18"/>
              </w:rPr>
              <w:t>·</w:t>
            </w:r>
            <w:r>
              <w:rPr>
                <w:rFonts w:hint="eastAsia" w:ascii="宋体" w:hAnsi="宋体"/>
                <w:sz w:val="18"/>
                <w:szCs w:val="18"/>
              </w:rPr>
              <w:t>h/t</w:t>
            </w:r>
          </w:p>
        </w:tc>
      </w:tr>
      <w:tr w14:paraId="4841DA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7" w:hRule="atLeast"/>
        </w:trPr>
        <w:tc>
          <w:tcPr>
            <w:tcW w:w="2501" w:type="pct"/>
            <w:tcBorders>
              <w:top w:val="single" w:color="auto" w:sz="8" w:space="0"/>
            </w:tcBorders>
            <w:shd w:val="clear" w:color="auto" w:fill="auto"/>
            <w:vAlign w:val="center"/>
          </w:tcPr>
          <w:p w14:paraId="51E84107">
            <w:pPr>
              <w:spacing w:line="240" w:lineRule="auto"/>
              <w:jc w:val="center"/>
              <w:rPr>
                <w:rFonts w:hint="eastAsia" w:ascii="宋体" w:hAnsi="宋体"/>
                <w:sz w:val="18"/>
                <w:szCs w:val="18"/>
              </w:rPr>
            </w:pPr>
            <w:r>
              <w:rPr>
                <w:rFonts w:hint="eastAsia" w:ascii="宋体" w:hAnsi="宋体"/>
                <w:sz w:val="18"/>
                <w:szCs w:val="18"/>
              </w:rPr>
              <w:t>棉纱</w:t>
            </w:r>
          </w:p>
        </w:tc>
        <w:tc>
          <w:tcPr>
            <w:tcW w:w="2499" w:type="pct"/>
            <w:tcBorders>
              <w:top w:val="single" w:color="auto" w:sz="8" w:space="0"/>
            </w:tcBorders>
            <w:shd w:val="clear" w:color="auto" w:fill="auto"/>
            <w:vAlign w:val="center"/>
          </w:tcPr>
          <w:p w14:paraId="561394D7">
            <w:pPr>
              <w:spacing w:line="240" w:lineRule="auto"/>
              <w:jc w:val="center"/>
              <w:rPr>
                <w:rFonts w:hint="eastAsia" w:ascii="宋体" w:hAnsi="宋体"/>
                <w:sz w:val="18"/>
                <w:szCs w:val="18"/>
              </w:rPr>
            </w:pPr>
            <w:r>
              <w:rPr>
                <w:rFonts w:hint="eastAsia" w:ascii="宋体" w:hAnsi="宋体"/>
                <w:sz w:val="18"/>
                <w:szCs w:val="18"/>
              </w:rPr>
              <w:t>≤ 5100</w:t>
            </w:r>
          </w:p>
        </w:tc>
      </w:tr>
    </w:tbl>
    <w:p w14:paraId="215A6F59">
      <w:pPr>
        <w:pStyle w:val="108"/>
        <w:spacing w:before="156" w:after="156"/>
      </w:pPr>
      <w:bookmarkStart w:id="360" w:name="_Toc4156"/>
      <w:bookmarkStart w:id="361" w:name="_Toc175504959"/>
      <w:bookmarkStart w:id="362" w:name="_Toc175690945"/>
      <w:bookmarkStart w:id="363" w:name="_Toc22189"/>
      <w:bookmarkStart w:id="364" w:name="_Toc3427"/>
      <w:r>
        <w:rPr>
          <w:rFonts w:hint="eastAsia"/>
        </w:rPr>
        <w:t>棉布</w:t>
      </w:r>
      <w:bookmarkEnd w:id="360"/>
      <w:bookmarkEnd w:id="361"/>
      <w:bookmarkEnd w:id="362"/>
      <w:bookmarkEnd w:id="363"/>
      <w:bookmarkEnd w:id="364"/>
    </w:p>
    <w:p w14:paraId="256E5BC3">
      <w:pPr>
        <w:pStyle w:val="68"/>
        <w:spacing w:before="156" w:after="156"/>
      </w:pPr>
      <w:r>
        <w:rPr>
          <w:rFonts w:hint="eastAsia"/>
        </w:rPr>
        <w:t>适用对象</w:t>
      </w:r>
    </w:p>
    <w:p w14:paraId="15C304AF">
      <w:pPr>
        <w:pStyle w:val="59"/>
        <w:ind w:firstLine="420"/>
      </w:pPr>
      <w:r>
        <w:rPr>
          <w:rFonts w:hint="eastAsia"/>
        </w:rPr>
        <w:t>适用于棉布（本色坯布）生产企业棉布单位产量可比综合电耗的计算、考核与评价。</w:t>
      </w:r>
    </w:p>
    <w:p w14:paraId="759773EE">
      <w:pPr>
        <w:pStyle w:val="68"/>
        <w:spacing w:before="156" w:after="156"/>
      </w:pPr>
      <w:r>
        <w:rPr>
          <w:rFonts w:hint="eastAsia"/>
        </w:rPr>
        <w:t>棉布单位产品综合能耗限定值</w:t>
      </w:r>
    </w:p>
    <w:p w14:paraId="4E4760CE">
      <w:pPr>
        <w:pStyle w:val="59"/>
        <w:ind w:firstLine="420"/>
      </w:pPr>
      <w:r>
        <w:rPr>
          <w:rFonts w:hint="eastAsia"/>
        </w:rPr>
        <w:t>现有企业棉布单位产量可比综合电耗限定值应符合表8的规定。</w:t>
      </w:r>
    </w:p>
    <w:p w14:paraId="235995AE">
      <w:pPr>
        <w:pStyle w:val="115"/>
        <w:spacing w:before="156" w:after="156"/>
      </w:pPr>
      <w:r>
        <w:rPr>
          <w:rFonts w:hint="eastAsia"/>
        </w:rPr>
        <w:t>棉布单位产量可比综合电耗限定值</w:t>
      </w:r>
    </w:p>
    <w:tbl>
      <w:tblPr>
        <w:tblStyle w:val="28"/>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988"/>
        <w:gridCol w:w="5386"/>
      </w:tblGrid>
      <w:tr w14:paraId="23E5E8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127" w:type="pct"/>
            <w:tcBorders>
              <w:top w:val="single" w:color="auto" w:sz="8" w:space="0"/>
              <w:bottom w:val="single" w:color="auto" w:sz="8" w:space="0"/>
            </w:tcBorders>
            <w:shd w:val="clear" w:color="auto" w:fill="auto"/>
            <w:vAlign w:val="center"/>
          </w:tcPr>
          <w:p w14:paraId="3ECFFBB1">
            <w:pPr>
              <w:spacing w:line="240" w:lineRule="auto"/>
              <w:jc w:val="center"/>
              <w:rPr>
                <w:rFonts w:hint="eastAsia" w:ascii="宋体" w:hAnsi="宋体"/>
                <w:sz w:val="18"/>
                <w:szCs w:val="18"/>
              </w:rPr>
            </w:pPr>
            <w:r>
              <w:rPr>
                <w:rFonts w:hint="eastAsia" w:ascii="宋体" w:hAnsi="宋体"/>
                <w:sz w:val="18"/>
                <w:szCs w:val="18"/>
              </w:rPr>
              <w:t>类别</w:t>
            </w:r>
          </w:p>
        </w:tc>
        <w:tc>
          <w:tcPr>
            <w:tcW w:w="2873" w:type="pct"/>
            <w:tcBorders>
              <w:top w:val="single" w:color="auto" w:sz="8" w:space="0"/>
              <w:bottom w:val="single" w:color="auto" w:sz="8" w:space="0"/>
            </w:tcBorders>
            <w:shd w:val="clear" w:color="auto" w:fill="auto"/>
            <w:vAlign w:val="center"/>
          </w:tcPr>
          <w:p w14:paraId="4BF79A14">
            <w:pPr>
              <w:spacing w:line="240" w:lineRule="auto"/>
              <w:jc w:val="center"/>
              <w:rPr>
                <w:rFonts w:hint="eastAsia" w:ascii="宋体" w:hAnsi="宋体"/>
                <w:b/>
                <w:bCs/>
                <w:sz w:val="18"/>
                <w:szCs w:val="18"/>
              </w:rPr>
            </w:pPr>
            <w:r>
              <w:rPr>
                <w:rFonts w:hint="eastAsia" w:ascii="宋体" w:hAnsi="宋体"/>
                <w:sz w:val="18"/>
                <w:szCs w:val="18"/>
              </w:rPr>
              <w:t>单位产量可比综合电耗限定值</w:t>
            </w:r>
          </w:p>
          <w:p w14:paraId="74DED6DE">
            <w:pPr>
              <w:spacing w:line="240" w:lineRule="auto"/>
              <w:jc w:val="center"/>
              <w:rPr>
                <w:rFonts w:hint="eastAsia" w:ascii="宋体" w:hAnsi="宋体"/>
                <w:sz w:val="18"/>
                <w:szCs w:val="18"/>
              </w:rPr>
            </w:pPr>
            <w:r>
              <w:rPr>
                <w:rFonts w:hint="eastAsia" w:ascii="宋体" w:hAnsi="宋体"/>
                <w:sz w:val="18"/>
                <w:szCs w:val="18"/>
              </w:rPr>
              <w:t>kW</w:t>
            </w:r>
            <w:r>
              <w:rPr>
                <w:rFonts w:hint="default" w:ascii="Times New Roman" w:hAnsi="Times New Roman" w:cs="Times New Roman"/>
                <w:sz w:val="18"/>
                <w:szCs w:val="18"/>
              </w:rPr>
              <w:t>·</w:t>
            </w:r>
            <w:r>
              <w:rPr>
                <w:rFonts w:hint="eastAsia" w:ascii="宋体" w:hAnsi="宋体"/>
                <w:sz w:val="18"/>
                <w:szCs w:val="18"/>
              </w:rPr>
              <w:t>h/hm</w:t>
            </w:r>
          </w:p>
        </w:tc>
      </w:tr>
      <w:tr w14:paraId="25BA7B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7" w:hRule="atLeast"/>
        </w:trPr>
        <w:tc>
          <w:tcPr>
            <w:tcW w:w="2127" w:type="pct"/>
            <w:tcBorders>
              <w:top w:val="single" w:color="auto" w:sz="8" w:space="0"/>
            </w:tcBorders>
            <w:shd w:val="clear" w:color="auto" w:fill="auto"/>
            <w:vAlign w:val="center"/>
          </w:tcPr>
          <w:p w14:paraId="4608E4FB">
            <w:pPr>
              <w:spacing w:line="240" w:lineRule="auto"/>
              <w:jc w:val="center"/>
              <w:rPr>
                <w:rFonts w:hint="eastAsia" w:ascii="宋体" w:hAnsi="宋体"/>
                <w:sz w:val="18"/>
                <w:szCs w:val="18"/>
              </w:rPr>
            </w:pPr>
            <w:r>
              <w:rPr>
                <w:rFonts w:hint="eastAsia" w:ascii="宋体" w:hAnsi="宋体"/>
                <w:sz w:val="18"/>
                <w:szCs w:val="18"/>
              </w:rPr>
              <w:t>棉布</w:t>
            </w:r>
          </w:p>
        </w:tc>
        <w:tc>
          <w:tcPr>
            <w:tcW w:w="2873" w:type="pct"/>
            <w:tcBorders>
              <w:top w:val="single" w:color="auto" w:sz="8" w:space="0"/>
            </w:tcBorders>
            <w:shd w:val="clear" w:color="auto" w:fill="auto"/>
            <w:vAlign w:val="center"/>
          </w:tcPr>
          <w:p w14:paraId="5E455AD5">
            <w:pPr>
              <w:spacing w:line="240" w:lineRule="auto"/>
              <w:jc w:val="center"/>
              <w:rPr>
                <w:rFonts w:hint="eastAsia" w:ascii="宋体" w:hAnsi="宋体"/>
                <w:sz w:val="18"/>
                <w:szCs w:val="18"/>
              </w:rPr>
            </w:pPr>
            <w:r>
              <w:rPr>
                <w:rFonts w:hint="eastAsia" w:ascii="宋体" w:hAnsi="宋体"/>
                <w:sz w:val="18"/>
                <w:szCs w:val="18"/>
              </w:rPr>
              <w:t>≤ 21</w:t>
            </w:r>
          </w:p>
        </w:tc>
      </w:tr>
    </w:tbl>
    <w:p w14:paraId="7E232983">
      <w:pPr>
        <w:pStyle w:val="108"/>
        <w:spacing w:before="156" w:after="156"/>
      </w:pPr>
      <w:bookmarkStart w:id="365" w:name="_Toc175504960"/>
      <w:bookmarkStart w:id="366" w:name="_Toc3047"/>
      <w:bookmarkStart w:id="367" w:name="_Toc175690946"/>
      <w:bookmarkStart w:id="368" w:name="_Toc236"/>
      <w:bookmarkStart w:id="369" w:name="_Toc2561"/>
      <w:r>
        <w:rPr>
          <w:rFonts w:hint="eastAsia"/>
        </w:rPr>
        <w:t>纤维板</w:t>
      </w:r>
      <w:bookmarkEnd w:id="365"/>
      <w:bookmarkEnd w:id="366"/>
      <w:bookmarkEnd w:id="367"/>
      <w:bookmarkEnd w:id="368"/>
      <w:bookmarkEnd w:id="369"/>
    </w:p>
    <w:p w14:paraId="25FC7D81">
      <w:pPr>
        <w:pStyle w:val="68"/>
        <w:spacing w:before="156" w:after="156"/>
      </w:pPr>
      <w:r>
        <w:rPr>
          <w:rFonts w:hint="eastAsia"/>
        </w:rPr>
        <w:t>适用对象</w:t>
      </w:r>
    </w:p>
    <w:p w14:paraId="62677B87">
      <w:pPr>
        <w:pStyle w:val="59"/>
        <w:ind w:firstLine="420"/>
      </w:pPr>
      <w:r>
        <w:rPr>
          <w:rFonts w:hint="eastAsia"/>
        </w:rPr>
        <w:t>适用于纤维板生产企业进行单位产品综合能耗的计算、控制与考核。</w:t>
      </w:r>
    </w:p>
    <w:p w14:paraId="36FAD6B1">
      <w:pPr>
        <w:pStyle w:val="68"/>
        <w:spacing w:before="156" w:after="156"/>
      </w:pPr>
      <w:r>
        <w:rPr>
          <w:rFonts w:hint="eastAsia"/>
        </w:rPr>
        <w:t>纤维板单位产品综合能耗限定值和准入值</w:t>
      </w:r>
    </w:p>
    <w:p w14:paraId="500B0650">
      <w:pPr>
        <w:pStyle w:val="59"/>
        <w:ind w:firstLine="420"/>
      </w:pPr>
      <w:r>
        <w:rPr>
          <w:rFonts w:hint="eastAsia"/>
        </w:rPr>
        <w:t>现有企业纤维板单位产品综合能耗限定值应符合表9的规定。</w:t>
      </w:r>
    </w:p>
    <w:p w14:paraId="51FE05E0">
      <w:pPr>
        <w:pStyle w:val="115"/>
        <w:spacing w:before="156" w:after="156"/>
      </w:pPr>
      <w:r>
        <w:rPr>
          <w:rFonts w:hint="eastAsia"/>
        </w:rPr>
        <w:t>纤维板单位产品综合能耗限定值和准入值</w:t>
      </w:r>
    </w:p>
    <w:tbl>
      <w:tblPr>
        <w:tblStyle w:val="28"/>
        <w:tblW w:w="5000" w:type="pct"/>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108" w:type="dxa"/>
          <w:bottom w:w="0" w:type="dxa"/>
          <w:right w:w="108" w:type="dxa"/>
        </w:tblCellMar>
      </w:tblPr>
      <w:tblGrid>
        <w:gridCol w:w="1910"/>
        <w:gridCol w:w="2297"/>
        <w:gridCol w:w="2680"/>
        <w:gridCol w:w="2683"/>
      </w:tblGrid>
      <w:tr w14:paraId="71ADF4C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2198" w:type="pct"/>
            <w:gridSpan w:val="2"/>
            <w:shd w:val="clear" w:color="auto" w:fill="auto"/>
            <w:vAlign w:val="center"/>
          </w:tcPr>
          <w:p w14:paraId="193441E9">
            <w:pPr>
              <w:pStyle w:val="234"/>
              <w:ind w:firstLine="0" w:firstLineChars="0"/>
              <w:jc w:val="center"/>
              <w:rPr>
                <w:rFonts w:hint="eastAsia" w:hAnsi="宋体"/>
                <w:sz w:val="18"/>
                <w:szCs w:val="18"/>
              </w:rPr>
            </w:pPr>
            <w:r>
              <w:rPr>
                <w:rFonts w:hint="eastAsia" w:hAnsi="宋体"/>
                <w:sz w:val="18"/>
                <w:szCs w:val="18"/>
              </w:rPr>
              <w:t>分  类</w:t>
            </w:r>
          </w:p>
        </w:tc>
        <w:tc>
          <w:tcPr>
            <w:tcW w:w="1399" w:type="pct"/>
            <w:shd w:val="clear" w:color="auto" w:fill="auto"/>
            <w:vAlign w:val="center"/>
          </w:tcPr>
          <w:p w14:paraId="04D151D4">
            <w:pPr>
              <w:jc w:val="center"/>
              <w:rPr>
                <w:rFonts w:hint="eastAsia" w:ascii="宋体" w:hAnsi="宋体"/>
                <w:sz w:val="18"/>
                <w:szCs w:val="18"/>
              </w:rPr>
            </w:pPr>
            <w:r>
              <w:rPr>
                <w:rFonts w:hint="eastAsia" w:ascii="宋体" w:hAnsi="宋体"/>
                <w:sz w:val="18"/>
                <w:szCs w:val="18"/>
              </w:rPr>
              <w:t>单位产品综合能耗限定值</w:t>
            </w:r>
          </w:p>
          <w:p w14:paraId="6D3CDEBF">
            <w:pPr>
              <w:pStyle w:val="234"/>
              <w:ind w:firstLine="0" w:firstLineChars="0"/>
              <w:jc w:val="center"/>
              <w:rPr>
                <w:rFonts w:hint="eastAsia" w:hAnsi="宋体"/>
                <w:sz w:val="18"/>
                <w:szCs w:val="18"/>
              </w:rPr>
            </w:pPr>
            <w:r>
              <w:rPr>
                <w:rFonts w:hint="eastAsia" w:hAnsi="宋体"/>
                <w:sz w:val="18"/>
                <w:szCs w:val="18"/>
              </w:rPr>
              <w:t>kgce/m</w:t>
            </w:r>
            <w:r>
              <w:rPr>
                <w:rFonts w:hint="eastAsia" w:hAnsi="宋体"/>
                <w:sz w:val="18"/>
                <w:szCs w:val="18"/>
                <w:vertAlign w:val="superscript"/>
              </w:rPr>
              <w:t>3</w:t>
            </w:r>
          </w:p>
        </w:tc>
        <w:tc>
          <w:tcPr>
            <w:tcW w:w="2685" w:type="dxa"/>
            <w:shd w:val="clear" w:color="auto" w:fill="auto"/>
            <w:vAlign w:val="center"/>
          </w:tcPr>
          <w:p w14:paraId="533A3015">
            <w:pPr>
              <w:jc w:val="center"/>
              <w:rPr>
                <w:rFonts w:hint="eastAsia" w:ascii="宋体" w:hAnsi="宋体"/>
                <w:sz w:val="18"/>
                <w:szCs w:val="18"/>
              </w:rPr>
            </w:pPr>
            <w:r>
              <w:rPr>
                <w:rFonts w:hint="eastAsia" w:ascii="宋体" w:hAnsi="宋体"/>
                <w:sz w:val="18"/>
                <w:szCs w:val="18"/>
              </w:rPr>
              <w:t>单位产品综合能耗准入值</w:t>
            </w:r>
          </w:p>
          <w:p w14:paraId="7A5388A4">
            <w:pPr>
              <w:pStyle w:val="234"/>
              <w:ind w:firstLine="0" w:firstLineChars="0"/>
              <w:jc w:val="center"/>
              <w:rPr>
                <w:rFonts w:hint="eastAsia" w:hAnsi="宋体"/>
                <w:sz w:val="18"/>
                <w:szCs w:val="18"/>
              </w:rPr>
            </w:pPr>
            <w:r>
              <w:rPr>
                <w:rFonts w:hAnsi="宋体"/>
                <w:sz w:val="18"/>
                <w:szCs w:val="18"/>
              </w:rPr>
              <w:t>kgce/m</w:t>
            </w:r>
            <w:r>
              <w:rPr>
                <w:rFonts w:hAnsi="宋体"/>
                <w:sz w:val="18"/>
                <w:szCs w:val="18"/>
                <w:vertAlign w:val="superscript"/>
              </w:rPr>
              <w:t>3</w:t>
            </w:r>
          </w:p>
        </w:tc>
      </w:tr>
      <w:tr w14:paraId="191D21F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2198" w:type="pct"/>
            <w:gridSpan w:val="2"/>
            <w:shd w:val="clear" w:color="auto" w:fill="auto"/>
            <w:vAlign w:val="center"/>
          </w:tcPr>
          <w:p w14:paraId="3995A582">
            <w:pPr>
              <w:pStyle w:val="234"/>
              <w:ind w:firstLine="0" w:firstLineChars="0"/>
              <w:jc w:val="center"/>
              <w:rPr>
                <w:rFonts w:hint="eastAsia" w:hAnsi="宋体"/>
                <w:sz w:val="18"/>
                <w:szCs w:val="18"/>
              </w:rPr>
            </w:pPr>
            <w:r>
              <w:rPr>
                <w:rFonts w:hint="eastAsia" w:hAnsi="宋体"/>
                <w:sz w:val="18"/>
                <w:szCs w:val="18"/>
              </w:rPr>
              <w:t>高密度纤维板</w:t>
            </w:r>
          </w:p>
        </w:tc>
        <w:tc>
          <w:tcPr>
            <w:tcW w:w="1399" w:type="pct"/>
            <w:shd w:val="clear" w:color="auto" w:fill="auto"/>
            <w:vAlign w:val="center"/>
          </w:tcPr>
          <w:p w14:paraId="3CFB2CE4">
            <w:pPr>
              <w:jc w:val="center"/>
              <w:rPr>
                <w:rFonts w:hint="eastAsia" w:ascii="宋体" w:hAnsi="宋体"/>
                <w:spacing w:val="20"/>
                <w:sz w:val="18"/>
                <w:szCs w:val="18"/>
              </w:rPr>
            </w:pPr>
            <w:r>
              <w:rPr>
                <w:rFonts w:hint="eastAsia" w:ascii="宋体" w:hAnsi="宋体"/>
                <w:spacing w:val="20"/>
                <w:sz w:val="18"/>
                <w:szCs w:val="18"/>
              </w:rPr>
              <w:t>≤240</w:t>
            </w:r>
          </w:p>
        </w:tc>
        <w:tc>
          <w:tcPr>
            <w:tcW w:w="2685" w:type="dxa"/>
            <w:shd w:val="clear" w:color="auto" w:fill="auto"/>
            <w:vAlign w:val="center"/>
          </w:tcPr>
          <w:p w14:paraId="0AF5F74E">
            <w:pPr>
              <w:jc w:val="center"/>
              <w:rPr>
                <w:rFonts w:hint="eastAsia" w:ascii="宋体" w:hAnsi="宋体"/>
                <w:spacing w:val="20"/>
                <w:sz w:val="18"/>
                <w:szCs w:val="18"/>
              </w:rPr>
            </w:pPr>
            <w:r>
              <w:rPr>
                <w:rFonts w:hint="eastAsia" w:ascii="宋体" w:hAnsi="宋体"/>
                <w:spacing w:val="20"/>
                <w:sz w:val="18"/>
                <w:szCs w:val="18"/>
              </w:rPr>
              <w:t>≤210</w:t>
            </w:r>
          </w:p>
        </w:tc>
      </w:tr>
      <w:tr w14:paraId="221935A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8" w:type="pct"/>
            <w:vMerge w:val="restart"/>
            <w:shd w:val="clear" w:color="auto" w:fill="auto"/>
            <w:vAlign w:val="center"/>
          </w:tcPr>
          <w:p w14:paraId="0DAC9DCE">
            <w:pPr>
              <w:pStyle w:val="234"/>
              <w:ind w:firstLine="0" w:firstLineChars="0"/>
              <w:jc w:val="center"/>
              <w:rPr>
                <w:rFonts w:hint="eastAsia" w:hAnsi="宋体"/>
                <w:sz w:val="18"/>
                <w:szCs w:val="18"/>
              </w:rPr>
            </w:pPr>
            <w:r>
              <w:rPr>
                <w:rFonts w:hint="eastAsia" w:hAnsi="宋体"/>
                <w:sz w:val="18"/>
                <w:szCs w:val="18"/>
              </w:rPr>
              <w:t>中密度纤维板</w:t>
            </w:r>
          </w:p>
        </w:tc>
        <w:tc>
          <w:tcPr>
            <w:tcW w:w="1199" w:type="pct"/>
            <w:shd w:val="clear" w:color="auto" w:fill="auto"/>
            <w:vAlign w:val="center"/>
          </w:tcPr>
          <w:p w14:paraId="322EAD98">
            <w:pPr>
              <w:jc w:val="center"/>
              <w:rPr>
                <w:rFonts w:hint="eastAsia" w:ascii="宋体" w:hAnsi="宋体"/>
                <w:sz w:val="18"/>
                <w:szCs w:val="18"/>
              </w:rPr>
            </w:pPr>
            <w:r>
              <w:rPr>
                <w:rFonts w:hint="eastAsia" w:ascii="宋体" w:hAnsi="宋体"/>
                <w:sz w:val="18"/>
                <w:szCs w:val="18"/>
              </w:rPr>
              <w:t>密度 ≥ 750kg/m</w:t>
            </w:r>
            <w:r>
              <w:rPr>
                <w:rFonts w:hint="eastAsia" w:ascii="宋体" w:hAnsi="宋体"/>
                <w:sz w:val="18"/>
                <w:szCs w:val="18"/>
                <w:vertAlign w:val="superscript"/>
              </w:rPr>
              <w:t>3</w:t>
            </w:r>
          </w:p>
        </w:tc>
        <w:tc>
          <w:tcPr>
            <w:tcW w:w="1400" w:type="pct"/>
            <w:shd w:val="clear" w:color="auto" w:fill="auto"/>
            <w:vAlign w:val="center"/>
          </w:tcPr>
          <w:p w14:paraId="43C67E2E">
            <w:pPr>
              <w:jc w:val="center"/>
              <w:rPr>
                <w:rFonts w:hint="eastAsia" w:ascii="宋体" w:hAnsi="宋体"/>
                <w:spacing w:val="20"/>
                <w:sz w:val="18"/>
                <w:szCs w:val="18"/>
              </w:rPr>
            </w:pPr>
            <w:r>
              <w:rPr>
                <w:rFonts w:hint="eastAsia" w:ascii="宋体" w:hAnsi="宋体"/>
                <w:spacing w:val="20"/>
                <w:sz w:val="18"/>
                <w:szCs w:val="18"/>
              </w:rPr>
              <w:t>≤200</w:t>
            </w:r>
          </w:p>
        </w:tc>
        <w:tc>
          <w:tcPr>
            <w:tcW w:w="2683" w:type="dxa"/>
            <w:shd w:val="clear" w:color="auto" w:fill="auto"/>
            <w:vAlign w:val="center"/>
          </w:tcPr>
          <w:p w14:paraId="30E37C02">
            <w:pPr>
              <w:jc w:val="center"/>
              <w:rPr>
                <w:rFonts w:hint="eastAsia" w:ascii="宋体" w:hAnsi="宋体"/>
                <w:spacing w:val="20"/>
                <w:sz w:val="18"/>
                <w:szCs w:val="18"/>
              </w:rPr>
            </w:pPr>
            <w:r>
              <w:rPr>
                <w:rFonts w:hint="eastAsia" w:ascii="宋体" w:hAnsi="宋体"/>
                <w:spacing w:val="20"/>
                <w:sz w:val="18"/>
                <w:szCs w:val="18"/>
              </w:rPr>
              <w:t>≤160</w:t>
            </w:r>
          </w:p>
        </w:tc>
      </w:tr>
      <w:tr w14:paraId="37C3D84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8" w:type="pct"/>
            <w:vMerge w:val="continue"/>
            <w:shd w:val="clear" w:color="auto" w:fill="auto"/>
            <w:vAlign w:val="center"/>
          </w:tcPr>
          <w:p w14:paraId="3C2B910C">
            <w:pPr>
              <w:pStyle w:val="234"/>
              <w:ind w:firstLine="0" w:firstLineChars="0"/>
              <w:jc w:val="center"/>
              <w:rPr>
                <w:rFonts w:hint="eastAsia" w:hAnsi="宋体"/>
                <w:sz w:val="18"/>
                <w:szCs w:val="18"/>
              </w:rPr>
            </w:pPr>
          </w:p>
        </w:tc>
        <w:tc>
          <w:tcPr>
            <w:tcW w:w="1199" w:type="pct"/>
            <w:shd w:val="clear" w:color="auto" w:fill="auto"/>
            <w:vAlign w:val="center"/>
          </w:tcPr>
          <w:p w14:paraId="6E68433C">
            <w:pPr>
              <w:jc w:val="center"/>
              <w:rPr>
                <w:rFonts w:hint="eastAsia" w:ascii="宋体" w:hAnsi="宋体"/>
                <w:sz w:val="18"/>
                <w:szCs w:val="18"/>
              </w:rPr>
            </w:pPr>
            <w:r>
              <w:rPr>
                <w:rFonts w:hint="eastAsia" w:ascii="宋体" w:hAnsi="宋体"/>
                <w:sz w:val="18"/>
                <w:szCs w:val="18"/>
              </w:rPr>
              <w:t>密度 ＜ 750kg/m</w:t>
            </w:r>
            <w:r>
              <w:rPr>
                <w:rFonts w:hint="eastAsia" w:ascii="宋体" w:hAnsi="宋体"/>
                <w:sz w:val="18"/>
                <w:szCs w:val="18"/>
                <w:vertAlign w:val="superscript"/>
              </w:rPr>
              <w:t>3</w:t>
            </w:r>
          </w:p>
        </w:tc>
        <w:tc>
          <w:tcPr>
            <w:tcW w:w="1400" w:type="pct"/>
            <w:shd w:val="clear" w:color="auto" w:fill="auto"/>
            <w:vAlign w:val="center"/>
          </w:tcPr>
          <w:p w14:paraId="30E858BF">
            <w:pPr>
              <w:jc w:val="center"/>
              <w:rPr>
                <w:rFonts w:hint="eastAsia" w:ascii="宋体" w:hAnsi="宋体"/>
                <w:spacing w:val="20"/>
                <w:sz w:val="18"/>
                <w:szCs w:val="18"/>
              </w:rPr>
            </w:pPr>
            <w:r>
              <w:rPr>
                <w:rFonts w:hint="eastAsia" w:ascii="宋体" w:hAnsi="宋体"/>
                <w:spacing w:val="20"/>
                <w:sz w:val="18"/>
                <w:szCs w:val="18"/>
              </w:rPr>
              <w:t>≤180</w:t>
            </w:r>
          </w:p>
        </w:tc>
        <w:tc>
          <w:tcPr>
            <w:tcW w:w="2683" w:type="dxa"/>
            <w:shd w:val="clear" w:color="auto" w:fill="auto"/>
            <w:vAlign w:val="center"/>
          </w:tcPr>
          <w:p w14:paraId="5CA16C47">
            <w:pPr>
              <w:jc w:val="center"/>
              <w:rPr>
                <w:rFonts w:hint="eastAsia" w:ascii="宋体" w:hAnsi="宋体"/>
                <w:spacing w:val="20"/>
                <w:sz w:val="18"/>
                <w:szCs w:val="18"/>
              </w:rPr>
            </w:pPr>
            <w:r>
              <w:rPr>
                <w:rFonts w:hint="eastAsia" w:ascii="宋体" w:hAnsi="宋体"/>
                <w:spacing w:val="20"/>
                <w:sz w:val="18"/>
                <w:szCs w:val="18"/>
              </w:rPr>
              <w:t>≤140</w:t>
            </w:r>
          </w:p>
        </w:tc>
      </w:tr>
      <w:tr w14:paraId="330CDFB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2198" w:type="pct"/>
            <w:gridSpan w:val="2"/>
            <w:shd w:val="clear" w:color="auto" w:fill="auto"/>
            <w:vAlign w:val="center"/>
          </w:tcPr>
          <w:p w14:paraId="6F4CF8A0">
            <w:pPr>
              <w:pStyle w:val="234"/>
              <w:ind w:firstLine="0" w:firstLineChars="0"/>
              <w:jc w:val="center"/>
              <w:rPr>
                <w:rFonts w:hint="eastAsia" w:hAnsi="宋体"/>
                <w:sz w:val="18"/>
                <w:szCs w:val="18"/>
              </w:rPr>
            </w:pPr>
            <w:r>
              <w:rPr>
                <w:rFonts w:hint="eastAsia" w:hAnsi="宋体"/>
                <w:sz w:val="18"/>
                <w:szCs w:val="18"/>
              </w:rPr>
              <w:t>低密度纤维板</w:t>
            </w:r>
          </w:p>
        </w:tc>
        <w:tc>
          <w:tcPr>
            <w:tcW w:w="1400" w:type="pct"/>
            <w:shd w:val="clear" w:color="auto" w:fill="auto"/>
            <w:vAlign w:val="center"/>
          </w:tcPr>
          <w:p w14:paraId="76EB1459">
            <w:pPr>
              <w:jc w:val="center"/>
              <w:rPr>
                <w:rFonts w:hint="eastAsia" w:ascii="宋体" w:hAnsi="宋体"/>
                <w:spacing w:val="20"/>
                <w:sz w:val="18"/>
                <w:szCs w:val="18"/>
              </w:rPr>
            </w:pPr>
            <w:r>
              <w:rPr>
                <w:rFonts w:hint="eastAsia" w:ascii="宋体" w:hAnsi="宋体"/>
                <w:spacing w:val="20"/>
                <w:sz w:val="18"/>
                <w:szCs w:val="18"/>
              </w:rPr>
              <w:t>≤140</w:t>
            </w:r>
          </w:p>
        </w:tc>
        <w:tc>
          <w:tcPr>
            <w:tcW w:w="2683" w:type="dxa"/>
            <w:shd w:val="clear" w:color="auto" w:fill="auto"/>
            <w:vAlign w:val="center"/>
          </w:tcPr>
          <w:p w14:paraId="33788ED9">
            <w:pPr>
              <w:jc w:val="center"/>
              <w:rPr>
                <w:rFonts w:hint="eastAsia" w:ascii="宋体" w:hAnsi="宋体"/>
                <w:spacing w:val="20"/>
                <w:sz w:val="18"/>
                <w:szCs w:val="18"/>
              </w:rPr>
            </w:pPr>
            <w:r>
              <w:rPr>
                <w:rFonts w:hint="eastAsia" w:ascii="宋体" w:hAnsi="宋体"/>
                <w:spacing w:val="20"/>
                <w:sz w:val="18"/>
                <w:szCs w:val="18"/>
              </w:rPr>
              <w:t>≤120</w:t>
            </w:r>
          </w:p>
        </w:tc>
      </w:tr>
      <w:tr w14:paraId="12E0AA3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5000" w:type="pct"/>
            <w:gridSpan w:val="4"/>
            <w:shd w:val="clear" w:color="auto" w:fill="auto"/>
            <w:vAlign w:val="center"/>
          </w:tcPr>
          <w:p w14:paraId="0FEE605F">
            <w:pPr>
              <w:pStyle w:val="183"/>
              <w:numPr>
                <w:ilvl w:val="0"/>
                <w:numId w:val="33"/>
              </w:numPr>
              <w:rPr>
                <w:rFonts w:hint="eastAsia" w:hAnsi="宋体"/>
              </w:rPr>
            </w:pPr>
            <w:r>
              <w:rPr>
                <w:rFonts w:hint="eastAsia" w:hAnsi="宋体"/>
              </w:rPr>
              <w:t>高密度纤维板：密度大于800 kg/m</w:t>
            </w:r>
            <w:r>
              <w:rPr>
                <w:rFonts w:hint="eastAsia" w:hAnsi="宋体"/>
                <w:vertAlign w:val="superscript"/>
              </w:rPr>
              <w:t>3</w:t>
            </w:r>
            <w:r>
              <w:rPr>
                <w:rFonts w:hint="eastAsia" w:hAnsi="宋体"/>
              </w:rPr>
              <w:t>的纤维板；中密度纤维板：厚度不小于1.5 mm，密度范围在650 kg/m</w:t>
            </w:r>
            <w:r>
              <w:rPr>
                <w:rFonts w:hint="eastAsia" w:hAnsi="宋体"/>
                <w:vertAlign w:val="superscript"/>
              </w:rPr>
              <w:t>3　</w:t>
            </w:r>
            <w:r>
              <w:rPr>
                <w:rFonts w:hint="eastAsia" w:hAnsi="宋体"/>
              </w:rPr>
              <w:t>～800 kg/m</w:t>
            </w:r>
            <w:r>
              <w:rPr>
                <w:rFonts w:hint="eastAsia" w:hAnsi="宋体"/>
                <w:vertAlign w:val="superscript"/>
              </w:rPr>
              <w:t>3</w:t>
            </w:r>
            <w:r>
              <w:rPr>
                <w:rFonts w:hint="eastAsia" w:hAnsi="宋体"/>
              </w:rPr>
              <w:t>之间的纤维板；低密度纤维板：密度小于在650 kg/m</w:t>
            </w:r>
            <w:r>
              <w:rPr>
                <w:rFonts w:hint="eastAsia" w:hAnsi="宋体"/>
                <w:vertAlign w:val="superscript"/>
              </w:rPr>
              <w:t>3</w:t>
            </w:r>
            <w:r>
              <w:rPr>
                <w:rFonts w:hint="eastAsia" w:hAnsi="宋体"/>
              </w:rPr>
              <w:t>的纤维板。</w:t>
            </w:r>
          </w:p>
          <w:p w14:paraId="46F3D289">
            <w:pPr>
              <w:pStyle w:val="183"/>
              <w:rPr>
                <w:rFonts w:hint="eastAsia" w:hAnsi="宋体"/>
              </w:rPr>
            </w:pPr>
            <w:r>
              <w:rPr>
                <w:rFonts w:hint="eastAsia" w:hAnsi="宋体"/>
              </w:rPr>
              <w:t>电力折标准煤系数采用0.1229 kgce/kW</w:t>
            </w:r>
            <w:r>
              <w:rPr>
                <w:rFonts w:hint="default" w:ascii="Times New Roman" w:hAnsi="Times New Roman" w:cs="Times New Roman"/>
                <w:sz w:val="18"/>
                <w:szCs w:val="18"/>
              </w:rPr>
              <w:t>·</w:t>
            </w:r>
            <w:r>
              <w:rPr>
                <w:rFonts w:hint="eastAsia" w:hAnsi="宋体"/>
              </w:rPr>
              <w:t>h</w:t>
            </w:r>
            <w:r>
              <w:rPr>
                <w:rFonts w:hint="eastAsia" w:hAnsi="宋体"/>
                <w:spacing w:val="20"/>
              </w:rPr>
              <w:t>。</w:t>
            </w:r>
          </w:p>
        </w:tc>
      </w:tr>
    </w:tbl>
    <w:p w14:paraId="4FEDB3CD">
      <w:pPr>
        <w:pStyle w:val="108"/>
        <w:spacing w:before="156" w:after="156"/>
      </w:pPr>
      <w:bookmarkStart w:id="370" w:name="_Toc14273"/>
      <w:bookmarkStart w:id="371" w:name="_Toc502760506"/>
      <w:bookmarkStart w:id="372" w:name="_Toc496881039"/>
      <w:bookmarkStart w:id="373" w:name="_Toc496771302"/>
      <w:bookmarkStart w:id="374" w:name="_Toc12820"/>
      <w:bookmarkStart w:id="375" w:name="_Toc26290"/>
      <w:bookmarkStart w:id="376" w:name="_Toc492372471"/>
      <w:bookmarkStart w:id="377" w:name="_Toc175504961"/>
      <w:bookmarkStart w:id="378" w:name="_Toc175690947"/>
      <w:bookmarkStart w:id="379" w:name="_Toc492372617"/>
      <w:r>
        <w:rPr>
          <w:rFonts w:hint="eastAsia"/>
        </w:rPr>
        <w:t>纸浆</w:t>
      </w:r>
      <w:bookmarkEnd w:id="370"/>
      <w:bookmarkEnd w:id="371"/>
      <w:bookmarkEnd w:id="372"/>
      <w:bookmarkEnd w:id="373"/>
      <w:bookmarkEnd w:id="374"/>
      <w:bookmarkEnd w:id="375"/>
      <w:bookmarkEnd w:id="376"/>
      <w:bookmarkEnd w:id="377"/>
      <w:bookmarkEnd w:id="378"/>
      <w:bookmarkEnd w:id="379"/>
    </w:p>
    <w:p w14:paraId="6D179A6F">
      <w:pPr>
        <w:pStyle w:val="68"/>
        <w:spacing w:before="156" w:after="156"/>
      </w:pPr>
      <w:r>
        <w:rPr>
          <w:rFonts w:hint="eastAsia"/>
        </w:rPr>
        <w:t>适用对象</w:t>
      </w:r>
    </w:p>
    <w:p w14:paraId="3D8C81CC">
      <w:pPr>
        <w:pStyle w:val="59"/>
        <w:ind w:firstLine="420"/>
      </w:pPr>
      <w:r>
        <w:rPr>
          <w:rFonts w:hint="eastAsia"/>
        </w:rPr>
        <w:t>适用于纸浆（含制浆造纸）生产企业进行单位产品综合能耗的计算、考核与评价。</w:t>
      </w:r>
    </w:p>
    <w:p w14:paraId="525C311F">
      <w:pPr>
        <w:pStyle w:val="68"/>
        <w:spacing w:before="156" w:after="156"/>
      </w:pPr>
      <w:r>
        <w:rPr>
          <w:rFonts w:hint="eastAsia"/>
        </w:rPr>
        <w:t>纸浆单位产品综合能耗限定值和准入值</w:t>
      </w:r>
    </w:p>
    <w:p w14:paraId="35D54D13">
      <w:pPr>
        <w:pStyle w:val="59"/>
        <w:ind w:firstLine="420"/>
      </w:pPr>
      <w:r>
        <w:rPr>
          <w:rFonts w:hint="eastAsia"/>
        </w:rPr>
        <w:t>现有企业纸浆单位产品综合能耗限定值，新建企业、现有企业改扩建项目纸浆单位产品综合能耗准入值应符合表10的规定。</w:t>
      </w:r>
    </w:p>
    <w:p w14:paraId="52FAB16F">
      <w:pPr>
        <w:pStyle w:val="115"/>
        <w:spacing w:before="156" w:after="156"/>
      </w:pPr>
      <w:r>
        <w:rPr>
          <w:rFonts w:hint="eastAsia"/>
        </w:rPr>
        <w:t>纸浆单位产品综合能耗限定和准入值</w:t>
      </w:r>
    </w:p>
    <w:tbl>
      <w:tblPr>
        <w:tblStyle w:val="28"/>
        <w:tblW w:w="5090" w:type="pct"/>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0" w:type="dxa"/>
          <w:bottom w:w="0" w:type="dxa"/>
          <w:right w:w="0" w:type="dxa"/>
        </w:tblCellMar>
      </w:tblPr>
      <w:tblGrid>
        <w:gridCol w:w="4762"/>
        <w:gridCol w:w="2374"/>
        <w:gridCol w:w="2407"/>
      </w:tblGrid>
      <w:tr w14:paraId="210389B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495" w:type="pct"/>
            <w:tcBorders>
              <w:top w:val="single" w:color="000000" w:sz="8" w:space="0"/>
              <w:bottom w:val="single" w:color="000000" w:sz="8" w:space="0"/>
            </w:tcBorders>
            <w:shd w:val="clear" w:color="auto" w:fill="auto"/>
            <w:vAlign w:val="center"/>
          </w:tcPr>
          <w:p w14:paraId="7675DFDD">
            <w:pPr>
              <w:pStyle w:val="234"/>
              <w:ind w:firstLine="0" w:firstLineChars="0"/>
              <w:jc w:val="center"/>
              <w:rPr>
                <w:rFonts w:hint="eastAsia" w:hAnsi="宋体"/>
                <w:sz w:val="18"/>
                <w:szCs w:val="18"/>
              </w:rPr>
            </w:pPr>
            <w:r>
              <w:rPr>
                <w:rFonts w:hint="eastAsia" w:hAnsi="宋体"/>
                <w:sz w:val="18"/>
                <w:szCs w:val="18"/>
              </w:rPr>
              <w:t>产品名称</w:t>
            </w:r>
          </w:p>
        </w:tc>
        <w:tc>
          <w:tcPr>
            <w:tcW w:w="1244" w:type="pct"/>
            <w:tcBorders>
              <w:top w:val="single" w:color="000000" w:sz="8" w:space="0"/>
              <w:bottom w:val="single" w:color="000000" w:sz="8" w:space="0"/>
            </w:tcBorders>
            <w:shd w:val="clear" w:color="auto" w:fill="auto"/>
            <w:vAlign w:val="center"/>
          </w:tcPr>
          <w:p w14:paraId="231A1ABF">
            <w:pPr>
              <w:spacing w:line="240" w:lineRule="auto"/>
              <w:jc w:val="center"/>
              <w:rPr>
                <w:rFonts w:hint="eastAsia" w:ascii="宋体" w:hAnsi="宋体"/>
                <w:sz w:val="18"/>
                <w:szCs w:val="18"/>
              </w:rPr>
            </w:pPr>
            <w:r>
              <w:rPr>
                <w:rFonts w:hint="eastAsia" w:ascii="宋体" w:hAnsi="宋体"/>
                <w:sz w:val="18"/>
                <w:szCs w:val="18"/>
              </w:rPr>
              <w:t>单位产品综合能耗限定值</w:t>
            </w:r>
          </w:p>
          <w:p w14:paraId="3B80D5CC">
            <w:pPr>
              <w:pStyle w:val="234"/>
              <w:ind w:firstLine="0" w:firstLineChars="0"/>
              <w:jc w:val="center"/>
              <w:rPr>
                <w:rFonts w:hint="eastAsia" w:hAnsi="宋体"/>
                <w:sz w:val="18"/>
                <w:szCs w:val="18"/>
              </w:rPr>
            </w:pPr>
            <w:r>
              <w:rPr>
                <w:rFonts w:hint="eastAsia" w:hAnsi="宋体"/>
                <w:sz w:val="18"/>
                <w:szCs w:val="18"/>
              </w:rPr>
              <w:t>等价值kgce/Adt</w:t>
            </w:r>
          </w:p>
        </w:tc>
        <w:tc>
          <w:tcPr>
            <w:tcW w:w="1259" w:type="pct"/>
            <w:tcBorders>
              <w:top w:val="single" w:color="000000" w:sz="8" w:space="0"/>
              <w:bottom w:val="single" w:color="000000" w:sz="8" w:space="0"/>
            </w:tcBorders>
            <w:shd w:val="clear" w:color="auto" w:fill="auto"/>
            <w:vAlign w:val="center"/>
          </w:tcPr>
          <w:p w14:paraId="5896C6BA">
            <w:pPr>
              <w:spacing w:line="240" w:lineRule="auto"/>
              <w:jc w:val="center"/>
              <w:rPr>
                <w:rFonts w:hint="eastAsia" w:ascii="宋体" w:hAnsi="宋体"/>
                <w:sz w:val="18"/>
                <w:szCs w:val="18"/>
              </w:rPr>
            </w:pPr>
            <w:r>
              <w:rPr>
                <w:rFonts w:hint="eastAsia" w:ascii="宋体" w:hAnsi="宋体"/>
                <w:sz w:val="18"/>
                <w:szCs w:val="18"/>
              </w:rPr>
              <w:t>单位产品综合能耗准入值</w:t>
            </w:r>
          </w:p>
          <w:p w14:paraId="2B52C2AF">
            <w:pPr>
              <w:pStyle w:val="234"/>
              <w:ind w:firstLine="0" w:firstLineChars="0"/>
              <w:jc w:val="center"/>
              <w:rPr>
                <w:rFonts w:hint="eastAsia" w:hAnsi="宋体"/>
                <w:sz w:val="18"/>
                <w:szCs w:val="18"/>
              </w:rPr>
            </w:pPr>
            <w:r>
              <w:rPr>
                <w:rFonts w:hint="eastAsia" w:hAnsi="宋体"/>
                <w:sz w:val="18"/>
                <w:szCs w:val="18"/>
              </w:rPr>
              <w:t>等价值kgce/Adt</w:t>
            </w:r>
          </w:p>
        </w:tc>
      </w:tr>
      <w:tr w14:paraId="0F972F2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495" w:type="pct"/>
            <w:tcBorders>
              <w:top w:val="single" w:color="000000" w:sz="8" w:space="0"/>
            </w:tcBorders>
            <w:shd w:val="clear" w:color="auto" w:fill="auto"/>
            <w:vAlign w:val="center"/>
          </w:tcPr>
          <w:p w14:paraId="1FC81385">
            <w:pPr>
              <w:spacing w:line="240" w:lineRule="auto"/>
              <w:jc w:val="center"/>
              <w:rPr>
                <w:rFonts w:hint="eastAsia" w:ascii="宋体" w:hAnsi="宋体"/>
                <w:sz w:val="18"/>
                <w:szCs w:val="18"/>
              </w:rPr>
            </w:pPr>
            <w:r>
              <w:rPr>
                <w:rFonts w:hint="eastAsia" w:ascii="宋体" w:hAnsi="宋体"/>
                <w:sz w:val="18"/>
                <w:szCs w:val="18"/>
              </w:rPr>
              <w:t>漂白化学草木混合浆</w:t>
            </w:r>
          </w:p>
        </w:tc>
        <w:tc>
          <w:tcPr>
            <w:tcW w:w="1244" w:type="pct"/>
            <w:tcBorders>
              <w:top w:val="single" w:color="000000" w:sz="8" w:space="0"/>
            </w:tcBorders>
            <w:shd w:val="clear" w:color="auto" w:fill="auto"/>
            <w:vAlign w:val="center"/>
          </w:tcPr>
          <w:p w14:paraId="59A19275">
            <w:pPr>
              <w:spacing w:line="240" w:lineRule="auto"/>
              <w:jc w:val="center"/>
              <w:rPr>
                <w:rFonts w:hint="eastAsia" w:ascii="宋体" w:hAnsi="宋体"/>
                <w:spacing w:val="20"/>
                <w:sz w:val="18"/>
                <w:szCs w:val="18"/>
              </w:rPr>
            </w:pPr>
            <w:r>
              <w:rPr>
                <w:rFonts w:hint="eastAsia" w:ascii="宋体" w:hAnsi="宋体"/>
                <w:spacing w:val="20"/>
                <w:sz w:val="18"/>
                <w:szCs w:val="18"/>
              </w:rPr>
              <w:t>≤800</w:t>
            </w:r>
          </w:p>
        </w:tc>
        <w:tc>
          <w:tcPr>
            <w:tcW w:w="1259" w:type="pct"/>
            <w:tcBorders>
              <w:top w:val="single" w:color="000000" w:sz="8" w:space="0"/>
            </w:tcBorders>
            <w:shd w:val="clear" w:color="auto" w:fill="auto"/>
            <w:vAlign w:val="center"/>
          </w:tcPr>
          <w:p w14:paraId="267C74BD">
            <w:pPr>
              <w:spacing w:line="240" w:lineRule="auto"/>
              <w:jc w:val="center"/>
              <w:rPr>
                <w:rFonts w:hint="eastAsia" w:ascii="宋体" w:hAnsi="宋体"/>
                <w:spacing w:val="20"/>
                <w:sz w:val="18"/>
                <w:szCs w:val="18"/>
              </w:rPr>
            </w:pPr>
            <w:r>
              <w:rPr>
                <w:rFonts w:hint="eastAsia" w:ascii="宋体" w:hAnsi="宋体"/>
                <w:spacing w:val="20"/>
                <w:sz w:val="18"/>
                <w:szCs w:val="18"/>
              </w:rPr>
              <w:t>≤680</w:t>
            </w:r>
          </w:p>
        </w:tc>
      </w:tr>
      <w:tr w14:paraId="06AA280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495" w:type="pct"/>
            <w:shd w:val="clear" w:color="auto" w:fill="auto"/>
            <w:vAlign w:val="center"/>
          </w:tcPr>
          <w:p w14:paraId="35F8E9B9">
            <w:pPr>
              <w:spacing w:line="240" w:lineRule="auto"/>
              <w:jc w:val="center"/>
              <w:rPr>
                <w:rFonts w:hint="eastAsia" w:ascii="宋体" w:hAnsi="宋体"/>
                <w:sz w:val="18"/>
                <w:szCs w:val="18"/>
              </w:rPr>
            </w:pPr>
            <w:r>
              <w:rPr>
                <w:rFonts w:hint="eastAsia" w:ascii="宋体" w:hAnsi="宋体"/>
                <w:sz w:val="18"/>
                <w:szCs w:val="18"/>
              </w:rPr>
              <w:t>漂白化学机械木浆</w:t>
            </w:r>
          </w:p>
        </w:tc>
        <w:tc>
          <w:tcPr>
            <w:tcW w:w="1244" w:type="pct"/>
            <w:shd w:val="clear" w:color="auto" w:fill="auto"/>
            <w:vAlign w:val="center"/>
          </w:tcPr>
          <w:p w14:paraId="292B3008">
            <w:pPr>
              <w:spacing w:line="240" w:lineRule="auto"/>
              <w:jc w:val="center"/>
              <w:rPr>
                <w:rFonts w:hint="eastAsia" w:ascii="宋体" w:hAnsi="宋体"/>
                <w:spacing w:val="20"/>
                <w:sz w:val="18"/>
                <w:szCs w:val="18"/>
              </w:rPr>
            </w:pPr>
            <w:r>
              <w:rPr>
                <w:rFonts w:hint="eastAsia" w:ascii="宋体" w:hAnsi="宋体"/>
                <w:spacing w:val="20"/>
                <w:sz w:val="18"/>
                <w:szCs w:val="18"/>
              </w:rPr>
              <w:t>≤800</w:t>
            </w:r>
          </w:p>
        </w:tc>
        <w:tc>
          <w:tcPr>
            <w:tcW w:w="1259" w:type="pct"/>
            <w:shd w:val="clear" w:color="auto" w:fill="auto"/>
            <w:vAlign w:val="center"/>
          </w:tcPr>
          <w:p w14:paraId="78DE63DE">
            <w:pPr>
              <w:spacing w:line="240" w:lineRule="auto"/>
              <w:jc w:val="center"/>
              <w:rPr>
                <w:rFonts w:hint="eastAsia" w:ascii="宋体" w:hAnsi="宋体"/>
                <w:spacing w:val="20"/>
                <w:sz w:val="18"/>
                <w:szCs w:val="18"/>
              </w:rPr>
            </w:pPr>
            <w:r>
              <w:rPr>
                <w:rFonts w:hint="eastAsia" w:ascii="宋体" w:hAnsi="宋体"/>
                <w:spacing w:val="20"/>
                <w:sz w:val="18"/>
                <w:szCs w:val="18"/>
              </w:rPr>
              <w:t>≤720</w:t>
            </w:r>
          </w:p>
        </w:tc>
      </w:tr>
      <w:tr w14:paraId="11BD914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495" w:type="pct"/>
            <w:shd w:val="clear" w:color="auto" w:fill="auto"/>
            <w:vAlign w:val="center"/>
          </w:tcPr>
          <w:p w14:paraId="48CD2E4A">
            <w:pPr>
              <w:spacing w:line="240" w:lineRule="auto"/>
              <w:jc w:val="center"/>
              <w:rPr>
                <w:rFonts w:hint="eastAsia" w:ascii="宋体" w:hAnsi="宋体"/>
                <w:sz w:val="18"/>
                <w:szCs w:val="18"/>
              </w:rPr>
            </w:pPr>
            <w:r>
              <w:rPr>
                <w:rFonts w:hint="eastAsia" w:ascii="宋体" w:hAnsi="宋体"/>
                <w:sz w:val="18"/>
                <w:szCs w:val="18"/>
              </w:rPr>
              <w:t>漂白化学木浆</w:t>
            </w:r>
          </w:p>
        </w:tc>
        <w:tc>
          <w:tcPr>
            <w:tcW w:w="1244" w:type="pct"/>
            <w:shd w:val="clear" w:color="auto" w:fill="auto"/>
            <w:vAlign w:val="center"/>
          </w:tcPr>
          <w:p w14:paraId="02759FC2">
            <w:pPr>
              <w:spacing w:line="240" w:lineRule="auto"/>
              <w:jc w:val="center"/>
              <w:rPr>
                <w:rFonts w:hint="eastAsia" w:ascii="宋体" w:hAnsi="宋体"/>
                <w:spacing w:val="20"/>
                <w:sz w:val="18"/>
                <w:szCs w:val="18"/>
              </w:rPr>
            </w:pPr>
            <w:r>
              <w:rPr>
                <w:rFonts w:hint="eastAsia" w:ascii="宋体" w:hAnsi="宋体"/>
                <w:spacing w:val="20"/>
                <w:sz w:val="18"/>
                <w:szCs w:val="18"/>
              </w:rPr>
              <w:t>≤550</w:t>
            </w:r>
          </w:p>
        </w:tc>
        <w:tc>
          <w:tcPr>
            <w:tcW w:w="1259" w:type="pct"/>
            <w:shd w:val="clear" w:color="auto" w:fill="auto"/>
            <w:vAlign w:val="center"/>
          </w:tcPr>
          <w:p w14:paraId="757E84E7">
            <w:pPr>
              <w:spacing w:line="240" w:lineRule="auto"/>
              <w:jc w:val="center"/>
              <w:rPr>
                <w:rFonts w:hint="eastAsia" w:ascii="宋体" w:hAnsi="宋体"/>
                <w:spacing w:val="20"/>
                <w:sz w:val="18"/>
                <w:szCs w:val="18"/>
              </w:rPr>
            </w:pPr>
            <w:r>
              <w:rPr>
                <w:rFonts w:hint="eastAsia" w:ascii="宋体" w:hAnsi="宋体"/>
                <w:spacing w:val="20"/>
                <w:sz w:val="18"/>
                <w:szCs w:val="18"/>
              </w:rPr>
              <w:t>≤500</w:t>
            </w:r>
          </w:p>
        </w:tc>
      </w:tr>
      <w:tr w14:paraId="4C2A506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495" w:type="pct"/>
            <w:shd w:val="clear" w:color="auto" w:fill="auto"/>
            <w:vAlign w:val="center"/>
          </w:tcPr>
          <w:p w14:paraId="307BF96F">
            <w:pPr>
              <w:spacing w:line="240" w:lineRule="auto"/>
              <w:jc w:val="center"/>
              <w:rPr>
                <w:rFonts w:hint="eastAsia" w:ascii="宋体" w:hAnsi="宋体"/>
                <w:sz w:val="18"/>
                <w:szCs w:val="18"/>
              </w:rPr>
            </w:pPr>
            <w:r>
              <w:rPr>
                <w:rFonts w:hint="eastAsia" w:ascii="宋体" w:hAnsi="宋体"/>
                <w:sz w:val="18"/>
                <w:szCs w:val="18"/>
              </w:rPr>
              <w:t>废纸脱墨浆</w:t>
            </w:r>
          </w:p>
        </w:tc>
        <w:tc>
          <w:tcPr>
            <w:tcW w:w="1244" w:type="pct"/>
            <w:shd w:val="clear" w:color="auto" w:fill="auto"/>
            <w:vAlign w:val="center"/>
          </w:tcPr>
          <w:p w14:paraId="1F1CF596">
            <w:pPr>
              <w:spacing w:line="240" w:lineRule="auto"/>
              <w:jc w:val="center"/>
              <w:rPr>
                <w:rFonts w:hint="eastAsia" w:ascii="宋体" w:hAnsi="宋体"/>
                <w:spacing w:val="20"/>
                <w:sz w:val="18"/>
                <w:szCs w:val="18"/>
              </w:rPr>
            </w:pPr>
            <w:r>
              <w:rPr>
                <w:rFonts w:hint="eastAsia" w:ascii="宋体" w:hAnsi="宋体"/>
                <w:spacing w:val="20"/>
                <w:sz w:val="18"/>
                <w:szCs w:val="18"/>
              </w:rPr>
              <w:t>≤400</w:t>
            </w:r>
          </w:p>
        </w:tc>
        <w:tc>
          <w:tcPr>
            <w:tcW w:w="1259" w:type="pct"/>
            <w:shd w:val="clear" w:color="auto" w:fill="auto"/>
            <w:vAlign w:val="center"/>
          </w:tcPr>
          <w:p w14:paraId="3506424D">
            <w:pPr>
              <w:spacing w:line="240" w:lineRule="auto"/>
              <w:jc w:val="center"/>
              <w:rPr>
                <w:rFonts w:hint="eastAsia" w:ascii="宋体" w:hAnsi="宋体"/>
                <w:spacing w:val="20"/>
                <w:sz w:val="18"/>
                <w:szCs w:val="18"/>
              </w:rPr>
            </w:pPr>
            <w:r>
              <w:rPr>
                <w:rFonts w:hint="eastAsia" w:ascii="宋体" w:hAnsi="宋体"/>
                <w:spacing w:val="20"/>
                <w:sz w:val="18"/>
                <w:szCs w:val="18"/>
              </w:rPr>
              <w:t>≤320</w:t>
            </w:r>
          </w:p>
        </w:tc>
      </w:tr>
      <w:tr w14:paraId="5A32FE7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5000" w:type="pct"/>
            <w:gridSpan w:val="3"/>
            <w:shd w:val="clear" w:color="auto" w:fill="auto"/>
            <w:vAlign w:val="center"/>
          </w:tcPr>
          <w:p w14:paraId="0E5B3D63">
            <w:pPr>
              <w:pStyle w:val="183"/>
              <w:numPr>
                <w:ilvl w:val="0"/>
                <w:numId w:val="34"/>
              </w:numPr>
              <w:rPr>
                <w:rFonts w:hint="eastAsia" w:hAnsi="宋体"/>
                <w:kern w:val="2"/>
              </w:rPr>
            </w:pPr>
            <w:r>
              <w:rPr>
                <w:rFonts w:hint="eastAsia" w:hAnsi="宋体"/>
              </w:rPr>
              <w:t>各种纸浆均为自用湿浆, Adt表示吨风干浆；若抄商品浆板，每吨风干浆综合能耗限定值/准入值增加200kgce。</w:t>
            </w:r>
          </w:p>
          <w:p w14:paraId="5D4EBAC2">
            <w:pPr>
              <w:pStyle w:val="183"/>
              <w:rPr>
                <w:rFonts w:hint="eastAsia" w:hAnsi="宋体"/>
              </w:rPr>
            </w:pPr>
            <w:r>
              <w:rPr>
                <w:rFonts w:hint="eastAsia" w:hAnsi="宋体"/>
              </w:rPr>
              <w:t>有自备热电站或自备工业锅炉时，按实际煤耗折标准煤计算，外供电力、蒸汽时，按实际煤耗折标准煤计算进行扣减。外购电力、蒸汽时，按等价值折标准煤系数计算，</w:t>
            </w:r>
            <w:r>
              <w:rPr>
                <w:rFonts w:hAnsi="宋体"/>
              </w:rPr>
              <w:t>电力折标准煤系数</w:t>
            </w:r>
            <w:r>
              <w:rPr>
                <w:rFonts w:hint="eastAsia" w:hAnsi="宋体"/>
              </w:rPr>
              <w:t>采用0.33</w:t>
            </w:r>
            <w:r>
              <w:rPr>
                <w:rFonts w:hAnsi="宋体"/>
              </w:rPr>
              <w:t xml:space="preserve"> </w:t>
            </w:r>
            <w:r>
              <w:rPr>
                <w:rFonts w:hint="eastAsia" w:hAnsi="宋体"/>
              </w:rPr>
              <w:t>kgce/</w:t>
            </w:r>
            <w:r>
              <w:rPr>
                <w:rFonts w:hAnsi="宋体"/>
              </w:rPr>
              <w:t>kW</w:t>
            </w:r>
            <w:r>
              <w:rPr>
                <w:rFonts w:hint="default" w:ascii="Times New Roman" w:hAnsi="Times New Roman" w:cs="Times New Roman"/>
                <w:sz w:val="18"/>
                <w:szCs w:val="18"/>
              </w:rPr>
              <w:t>·</w:t>
            </w:r>
            <w:r>
              <w:rPr>
                <w:rFonts w:hAnsi="宋体"/>
              </w:rPr>
              <w:t>h</w:t>
            </w:r>
            <w:r>
              <w:rPr>
                <w:rFonts w:hint="eastAsia" w:hAnsi="宋体"/>
              </w:rPr>
              <w:t>。</w:t>
            </w:r>
          </w:p>
          <w:p w14:paraId="305F7C5E">
            <w:pPr>
              <w:pStyle w:val="183"/>
              <w:rPr>
                <w:rFonts w:hint="eastAsia" w:hAnsi="宋体"/>
              </w:rPr>
            </w:pPr>
            <w:r>
              <w:rPr>
                <w:rFonts w:hint="eastAsia" w:hAnsi="宋体"/>
              </w:rPr>
              <w:t>新水折标准煤系数采用0.0857</w:t>
            </w:r>
            <w:r>
              <w:rPr>
                <w:rFonts w:hAnsi="宋体"/>
              </w:rPr>
              <w:t xml:space="preserve"> </w:t>
            </w:r>
            <w:r>
              <w:rPr>
                <w:rFonts w:hint="eastAsia" w:hAnsi="宋体"/>
              </w:rPr>
              <w:t>kgce/t。</w:t>
            </w:r>
          </w:p>
        </w:tc>
      </w:tr>
    </w:tbl>
    <w:p w14:paraId="7158C650">
      <w:pPr>
        <w:pStyle w:val="108"/>
        <w:spacing w:before="156" w:after="156"/>
      </w:pPr>
      <w:bookmarkStart w:id="380" w:name="_Toc483398296"/>
      <w:bookmarkStart w:id="381" w:name="_Toc492372618"/>
      <w:bookmarkStart w:id="382" w:name="_Toc492372472"/>
      <w:bookmarkStart w:id="383" w:name="_Toc4704"/>
      <w:bookmarkStart w:id="384" w:name="_Toc496881040"/>
      <w:bookmarkStart w:id="385" w:name="_Toc24905"/>
      <w:bookmarkStart w:id="386" w:name="_Toc483586506"/>
      <w:bookmarkStart w:id="387" w:name="_Toc496771303"/>
      <w:bookmarkStart w:id="388" w:name="_Toc175690948"/>
      <w:bookmarkStart w:id="389" w:name="_Toc32315"/>
      <w:bookmarkStart w:id="390" w:name="_Toc502760507"/>
      <w:bookmarkStart w:id="391" w:name="_Toc175504962"/>
      <w:r>
        <w:rPr>
          <w:rFonts w:hint="eastAsia"/>
        </w:rPr>
        <w:t>书写印刷用纸</w:t>
      </w:r>
      <w:bookmarkEnd w:id="380"/>
      <w:bookmarkEnd w:id="381"/>
      <w:bookmarkEnd w:id="382"/>
      <w:bookmarkEnd w:id="383"/>
      <w:bookmarkEnd w:id="384"/>
      <w:bookmarkEnd w:id="385"/>
      <w:bookmarkEnd w:id="386"/>
      <w:bookmarkEnd w:id="387"/>
      <w:bookmarkEnd w:id="388"/>
      <w:bookmarkEnd w:id="389"/>
      <w:bookmarkEnd w:id="390"/>
      <w:bookmarkEnd w:id="391"/>
    </w:p>
    <w:p w14:paraId="75BCD5E8">
      <w:pPr>
        <w:pStyle w:val="68"/>
        <w:spacing w:before="156" w:after="156"/>
      </w:pPr>
      <w:r>
        <w:rPr>
          <w:rFonts w:hint="eastAsia"/>
        </w:rPr>
        <w:t>适用对象</w:t>
      </w:r>
    </w:p>
    <w:p w14:paraId="68672661">
      <w:pPr>
        <w:pStyle w:val="59"/>
        <w:ind w:firstLine="420"/>
      </w:pPr>
      <w:r>
        <w:rPr>
          <w:rFonts w:hint="eastAsia"/>
        </w:rPr>
        <w:t>适用于书写印刷用纸（不含制浆）生产企业进行单位产品综合能耗的计算、考核与评价。</w:t>
      </w:r>
    </w:p>
    <w:p w14:paraId="5838563E">
      <w:pPr>
        <w:pStyle w:val="68"/>
        <w:spacing w:before="156" w:after="156"/>
      </w:pPr>
      <w:r>
        <w:rPr>
          <w:rFonts w:hint="eastAsia"/>
        </w:rPr>
        <w:t>书写印刷用纸单位产品综合能耗限定值和准入值</w:t>
      </w:r>
      <w:r>
        <w:t xml:space="preserve"> </w:t>
      </w:r>
    </w:p>
    <w:p w14:paraId="04515DCC">
      <w:pPr>
        <w:pStyle w:val="59"/>
        <w:ind w:firstLine="420"/>
      </w:pPr>
      <w:r>
        <w:rPr>
          <w:rFonts w:hint="eastAsia"/>
        </w:rPr>
        <w:t>现有企业书写印刷用纸单位产品综合能耗限定值，新建企业、现有企业改扩建项目书写印刷用纸单位产品综合能耗准入值应符合表11的规定。</w:t>
      </w:r>
    </w:p>
    <w:p w14:paraId="40880359">
      <w:pPr>
        <w:pStyle w:val="115"/>
        <w:spacing w:before="156" w:after="156"/>
      </w:pPr>
      <w:r>
        <w:rPr>
          <w:rFonts w:hint="eastAsia"/>
        </w:rPr>
        <w:t>书写印刷用纸单位产品综合能耗限定值和准入值</w:t>
      </w:r>
    </w:p>
    <w:tbl>
      <w:tblPr>
        <w:tblStyle w:val="28"/>
        <w:tblW w:w="5090" w:type="pct"/>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0" w:type="dxa"/>
          <w:bottom w:w="0" w:type="dxa"/>
          <w:right w:w="0" w:type="dxa"/>
        </w:tblCellMar>
      </w:tblPr>
      <w:tblGrid>
        <w:gridCol w:w="4760"/>
        <w:gridCol w:w="2380"/>
        <w:gridCol w:w="8"/>
        <w:gridCol w:w="2395"/>
      </w:tblGrid>
      <w:tr w14:paraId="02BBD4B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494" w:type="pct"/>
            <w:tcBorders>
              <w:top w:val="single" w:color="000000" w:sz="8" w:space="0"/>
              <w:bottom w:val="single" w:color="000000" w:sz="8" w:space="0"/>
            </w:tcBorders>
            <w:shd w:val="clear" w:color="auto" w:fill="auto"/>
            <w:vAlign w:val="center"/>
          </w:tcPr>
          <w:p w14:paraId="3CF53590">
            <w:pPr>
              <w:spacing w:line="240" w:lineRule="auto"/>
              <w:jc w:val="center"/>
              <w:rPr>
                <w:rFonts w:hint="eastAsia" w:ascii="宋体" w:hAnsi="宋体"/>
                <w:spacing w:val="20"/>
                <w:sz w:val="18"/>
                <w:szCs w:val="18"/>
              </w:rPr>
            </w:pPr>
            <w:r>
              <w:rPr>
                <w:rFonts w:hint="eastAsia" w:ascii="宋体" w:hAnsi="宋体"/>
                <w:sz w:val="18"/>
                <w:szCs w:val="18"/>
              </w:rPr>
              <w:t>产品名称</w:t>
            </w:r>
          </w:p>
        </w:tc>
        <w:tc>
          <w:tcPr>
            <w:tcW w:w="1245" w:type="pct"/>
            <w:tcBorders>
              <w:top w:val="single" w:color="000000" w:sz="8" w:space="0"/>
              <w:bottom w:val="single" w:color="000000" w:sz="8" w:space="0"/>
            </w:tcBorders>
            <w:shd w:val="clear" w:color="auto" w:fill="auto"/>
            <w:vAlign w:val="center"/>
          </w:tcPr>
          <w:p w14:paraId="2614B30D">
            <w:pPr>
              <w:snapToGrid w:val="0"/>
              <w:spacing w:line="240" w:lineRule="auto"/>
              <w:jc w:val="center"/>
              <w:rPr>
                <w:rFonts w:hint="eastAsia" w:ascii="宋体" w:hAnsi="宋体"/>
                <w:sz w:val="18"/>
                <w:szCs w:val="18"/>
              </w:rPr>
            </w:pPr>
            <w:r>
              <w:rPr>
                <w:rFonts w:hint="eastAsia" w:ascii="宋体" w:hAnsi="宋体"/>
                <w:sz w:val="18"/>
                <w:szCs w:val="18"/>
              </w:rPr>
              <w:t>单位产品综合能耗限定值</w:t>
            </w:r>
          </w:p>
          <w:p w14:paraId="0325B61E">
            <w:pPr>
              <w:spacing w:line="240" w:lineRule="auto"/>
              <w:jc w:val="center"/>
              <w:rPr>
                <w:rFonts w:hint="eastAsia" w:ascii="宋体" w:hAnsi="宋体"/>
                <w:sz w:val="18"/>
                <w:szCs w:val="18"/>
              </w:rPr>
            </w:pPr>
            <w:r>
              <w:rPr>
                <w:rFonts w:hint="eastAsia" w:ascii="宋体" w:hAnsi="宋体"/>
                <w:sz w:val="18"/>
                <w:szCs w:val="18"/>
              </w:rPr>
              <w:t>等价值kgce/t</w:t>
            </w:r>
          </w:p>
        </w:tc>
        <w:tc>
          <w:tcPr>
            <w:tcW w:w="1259" w:type="pct"/>
            <w:gridSpan w:val="2"/>
            <w:tcBorders>
              <w:top w:val="single" w:color="000000" w:sz="8" w:space="0"/>
              <w:bottom w:val="single" w:color="000000" w:sz="8" w:space="0"/>
            </w:tcBorders>
            <w:shd w:val="clear" w:color="auto" w:fill="auto"/>
            <w:vAlign w:val="center"/>
          </w:tcPr>
          <w:p w14:paraId="58C85FCF">
            <w:pPr>
              <w:spacing w:line="240" w:lineRule="auto"/>
              <w:jc w:val="center"/>
              <w:rPr>
                <w:rFonts w:hint="eastAsia" w:ascii="宋体" w:hAnsi="宋体"/>
                <w:sz w:val="18"/>
                <w:szCs w:val="18"/>
              </w:rPr>
            </w:pPr>
            <w:r>
              <w:rPr>
                <w:rFonts w:hint="eastAsia" w:ascii="宋体" w:hAnsi="宋体"/>
                <w:sz w:val="18"/>
                <w:szCs w:val="18"/>
              </w:rPr>
              <w:t>单位产品综合能耗准入值</w:t>
            </w:r>
          </w:p>
          <w:p w14:paraId="1A1069E9">
            <w:pPr>
              <w:spacing w:line="240" w:lineRule="auto"/>
              <w:jc w:val="center"/>
              <w:rPr>
                <w:rFonts w:hint="eastAsia" w:ascii="宋体" w:hAnsi="宋体"/>
                <w:sz w:val="18"/>
                <w:szCs w:val="18"/>
              </w:rPr>
            </w:pPr>
            <w:r>
              <w:rPr>
                <w:rFonts w:hint="eastAsia" w:ascii="宋体" w:hAnsi="宋体"/>
                <w:sz w:val="18"/>
                <w:szCs w:val="18"/>
              </w:rPr>
              <w:t>等价值kgce/t</w:t>
            </w:r>
          </w:p>
        </w:tc>
      </w:tr>
      <w:tr w14:paraId="5B9B1FE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494" w:type="pct"/>
            <w:tcBorders>
              <w:top w:val="single" w:color="000000" w:sz="8" w:space="0"/>
            </w:tcBorders>
            <w:shd w:val="clear" w:color="auto" w:fill="auto"/>
            <w:vAlign w:val="center"/>
          </w:tcPr>
          <w:p w14:paraId="7ADCCF8A">
            <w:pPr>
              <w:spacing w:line="240" w:lineRule="auto"/>
              <w:jc w:val="center"/>
              <w:rPr>
                <w:rFonts w:hint="eastAsia" w:ascii="宋体" w:hAnsi="宋体"/>
                <w:sz w:val="18"/>
                <w:szCs w:val="18"/>
              </w:rPr>
            </w:pPr>
            <w:r>
              <w:rPr>
                <w:rFonts w:hint="eastAsia" w:ascii="宋体" w:hAnsi="宋体"/>
                <w:sz w:val="18"/>
                <w:szCs w:val="18"/>
              </w:rPr>
              <w:t>铜版纸</w:t>
            </w:r>
          </w:p>
        </w:tc>
        <w:tc>
          <w:tcPr>
            <w:tcW w:w="1246" w:type="pct"/>
            <w:tcBorders>
              <w:top w:val="single" w:color="000000" w:sz="8" w:space="0"/>
            </w:tcBorders>
            <w:shd w:val="clear" w:color="auto" w:fill="auto"/>
            <w:vAlign w:val="center"/>
          </w:tcPr>
          <w:p w14:paraId="0412D787">
            <w:pPr>
              <w:spacing w:line="240" w:lineRule="auto"/>
              <w:jc w:val="center"/>
              <w:rPr>
                <w:rFonts w:hint="eastAsia" w:ascii="宋体" w:hAnsi="宋体"/>
                <w:sz w:val="18"/>
                <w:szCs w:val="18"/>
              </w:rPr>
            </w:pPr>
            <w:r>
              <w:rPr>
                <w:rFonts w:hint="eastAsia" w:ascii="宋体" w:hAnsi="宋体"/>
                <w:kern w:val="0"/>
                <w:sz w:val="18"/>
                <w:szCs w:val="18"/>
              </w:rPr>
              <w:t xml:space="preserve">≤ </w:t>
            </w:r>
            <w:r>
              <w:rPr>
                <w:rFonts w:hint="eastAsia" w:ascii="宋体" w:hAnsi="宋体"/>
                <w:sz w:val="18"/>
                <w:szCs w:val="18"/>
              </w:rPr>
              <w:t>550</w:t>
            </w:r>
          </w:p>
        </w:tc>
        <w:tc>
          <w:tcPr>
            <w:tcW w:w="1258" w:type="pct"/>
            <w:gridSpan w:val="2"/>
            <w:tcBorders>
              <w:top w:val="single" w:color="000000" w:sz="8" w:space="0"/>
            </w:tcBorders>
            <w:shd w:val="clear" w:color="auto" w:fill="auto"/>
            <w:vAlign w:val="center"/>
          </w:tcPr>
          <w:p w14:paraId="61E2F9EF">
            <w:pPr>
              <w:spacing w:line="240" w:lineRule="auto"/>
              <w:jc w:val="center"/>
              <w:rPr>
                <w:rFonts w:hint="eastAsia" w:ascii="宋体" w:hAnsi="宋体"/>
                <w:sz w:val="18"/>
                <w:szCs w:val="18"/>
              </w:rPr>
            </w:pPr>
            <w:r>
              <w:rPr>
                <w:rFonts w:hint="eastAsia" w:ascii="宋体" w:hAnsi="宋体"/>
                <w:kern w:val="0"/>
                <w:sz w:val="18"/>
                <w:szCs w:val="18"/>
              </w:rPr>
              <w:t xml:space="preserve">≤ </w:t>
            </w:r>
            <w:r>
              <w:rPr>
                <w:rFonts w:hint="eastAsia" w:ascii="宋体" w:hAnsi="宋体"/>
                <w:sz w:val="18"/>
                <w:szCs w:val="18"/>
              </w:rPr>
              <w:t>500</w:t>
            </w:r>
          </w:p>
        </w:tc>
      </w:tr>
      <w:tr w14:paraId="21D9149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494" w:type="pct"/>
            <w:shd w:val="clear" w:color="auto" w:fill="auto"/>
            <w:vAlign w:val="center"/>
          </w:tcPr>
          <w:p w14:paraId="69232E0A">
            <w:pPr>
              <w:spacing w:line="240" w:lineRule="auto"/>
              <w:jc w:val="center"/>
              <w:rPr>
                <w:rFonts w:hint="eastAsia" w:ascii="宋体" w:hAnsi="宋体"/>
                <w:sz w:val="18"/>
                <w:szCs w:val="18"/>
              </w:rPr>
            </w:pPr>
            <w:r>
              <w:rPr>
                <w:rFonts w:hint="eastAsia" w:ascii="宋体" w:hAnsi="宋体"/>
                <w:sz w:val="18"/>
                <w:szCs w:val="18"/>
              </w:rPr>
              <w:t>轻量涂布纸</w:t>
            </w:r>
          </w:p>
        </w:tc>
        <w:tc>
          <w:tcPr>
            <w:tcW w:w="1247" w:type="pct"/>
            <w:shd w:val="clear" w:color="auto" w:fill="auto"/>
            <w:vAlign w:val="center"/>
          </w:tcPr>
          <w:p w14:paraId="05AA2907">
            <w:pPr>
              <w:spacing w:line="240" w:lineRule="auto"/>
              <w:jc w:val="center"/>
              <w:rPr>
                <w:rFonts w:hint="eastAsia" w:ascii="宋体" w:hAnsi="宋体"/>
                <w:sz w:val="18"/>
                <w:szCs w:val="18"/>
              </w:rPr>
            </w:pPr>
            <w:r>
              <w:rPr>
                <w:rFonts w:hint="eastAsia" w:ascii="宋体" w:hAnsi="宋体"/>
                <w:kern w:val="0"/>
                <w:sz w:val="18"/>
                <w:szCs w:val="18"/>
              </w:rPr>
              <w:t xml:space="preserve">≤ </w:t>
            </w:r>
            <w:r>
              <w:rPr>
                <w:rFonts w:hint="eastAsia" w:ascii="宋体" w:hAnsi="宋体"/>
                <w:sz w:val="18"/>
                <w:szCs w:val="18"/>
              </w:rPr>
              <w:t>520</w:t>
            </w:r>
          </w:p>
        </w:tc>
        <w:tc>
          <w:tcPr>
            <w:tcW w:w="1257" w:type="pct"/>
            <w:gridSpan w:val="2"/>
            <w:shd w:val="clear" w:color="auto" w:fill="auto"/>
            <w:vAlign w:val="center"/>
          </w:tcPr>
          <w:p w14:paraId="6BF49A87">
            <w:pPr>
              <w:spacing w:line="240" w:lineRule="auto"/>
              <w:jc w:val="center"/>
              <w:rPr>
                <w:rFonts w:hint="eastAsia" w:ascii="宋体" w:hAnsi="宋体"/>
                <w:sz w:val="18"/>
                <w:szCs w:val="18"/>
              </w:rPr>
            </w:pPr>
            <w:r>
              <w:rPr>
                <w:rFonts w:hint="eastAsia" w:ascii="宋体" w:hAnsi="宋体"/>
                <w:kern w:val="0"/>
                <w:sz w:val="18"/>
                <w:szCs w:val="18"/>
              </w:rPr>
              <w:t xml:space="preserve">≤ </w:t>
            </w:r>
            <w:r>
              <w:rPr>
                <w:rFonts w:hint="eastAsia" w:ascii="宋体" w:hAnsi="宋体"/>
                <w:sz w:val="18"/>
                <w:szCs w:val="18"/>
              </w:rPr>
              <w:t>480</w:t>
            </w:r>
          </w:p>
        </w:tc>
      </w:tr>
      <w:tr w14:paraId="551A702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494" w:type="pct"/>
            <w:shd w:val="clear" w:color="auto" w:fill="auto"/>
            <w:vAlign w:val="center"/>
          </w:tcPr>
          <w:p w14:paraId="1FF7E642">
            <w:pPr>
              <w:spacing w:line="240" w:lineRule="auto"/>
              <w:jc w:val="center"/>
              <w:rPr>
                <w:rFonts w:hint="eastAsia" w:ascii="宋体" w:hAnsi="宋体"/>
                <w:sz w:val="18"/>
                <w:szCs w:val="18"/>
              </w:rPr>
            </w:pPr>
            <w:r>
              <w:rPr>
                <w:rFonts w:hint="eastAsia" w:ascii="宋体" w:hAnsi="宋体"/>
                <w:sz w:val="18"/>
                <w:szCs w:val="18"/>
              </w:rPr>
              <w:t>书写纸、胶版印刷纸</w:t>
            </w:r>
          </w:p>
        </w:tc>
        <w:tc>
          <w:tcPr>
            <w:tcW w:w="1247" w:type="pct"/>
            <w:shd w:val="clear" w:color="auto" w:fill="auto"/>
            <w:vAlign w:val="center"/>
          </w:tcPr>
          <w:p w14:paraId="0449400E">
            <w:pPr>
              <w:spacing w:line="240" w:lineRule="auto"/>
              <w:jc w:val="center"/>
              <w:rPr>
                <w:rFonts w:hint="eastAsia" w:ascii="宋体" w:hAnsi="宋体"/>
                <w:sz w:val="18"/>
                <w:szCs w:val="18"/>
              </w:rPr>
            </w:pPr>
            <w:r>
              <w:rPr>
                <w:rFonts w:hint="eastAsia" w:ascii="宋体" w:hAnsi="宋体"/>
                <w:kern w:val="0"/>
                <w:sz w:val="18"/>
                <w:szCs w:val="18"/>
              </w:rPr>
              <w:t xml:space="preserve">≤ </w:t>
            </w:r>
            <w:r>
              <w:rPr>
                <w:rFonts w:hint="eastAsia" w:ascii="宋体" w:hAnsi="宋体"/>
                <w:sz w:val="18"/>
                <w:szCs w:val="18"/>
              </w:rPr>
              <w:t>500</w:t>
            </w:r>
          </w:p>
        </w:tc>
        <w:tc>
          <w:tcPr>
            <w:tcW w:w="1257" w:type="pct"/>
            <w:gridSpan w:val="2"/>
            <w:shd w:val="clear" w:color="auto" w:fill="auto"/>
            <w:vAlign w:val="center"/>
          </w:tcPr>
          <w:p w14:paraId="092B16E8">
            <w:pPr>
              <w:spacing w:line="240" w:lineRule="auto"/>
              <w:jc w:val="center"/>
              <w:rPr>
                <w:rFonts w:hint="eastAsia" w:ascii="宋体" w:hAnsi="宋体"/>
                <w:kern w:val="0"/>
                <w:sz w:val="18"/>
                <w:szCs w:val="18"/>
              </w:rPr>
            </w:pPr>
            <w:r>
              <w:rPr>
                <w:rFonts w:hint="eastAsia" w:ascii="宋体" w:hAnsi="宋体"/>
                <w:kern w:val="0"/>
                <w:sz w:val="18"/>
                <w:szCs w:val="18"/>
              </w:rPr>
              <w:t xml:space="preserve">≤ </w:t>
            </w:r>
            <w:r>
              <w:rPr>
                <w:rFonts w:hint="eastAsia" w:ascii="宋体" w:hAnsi="宋体"/>
                <w:sz w:val="18"/>
                <w:szCs w:val="18"/>
              </w:rPr>
              <w:t>460</w:t>
            </w:r>
          </w:p>
        </w:tc>
      </w:tr>
      <w:tr w14:paraId="1876272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494" w:type="pct"/>
            <w:shd w:val="clear" w:color="auto" w:fill="auto"/>
            <w:vAlign w:val="center"/>
          </w:tcPr>
          <w:p w14:paraId="724CCED8">
            <w:pPr>
              <w:spacing w:line="240" w:lineRule="auto"/>
              <w:jc w:val="center"/>
              <w:rPr>
                <w:rFonts w:hint="eastAsia" w:ascii="宋体" w:hAnsi="宋体"/>
                <w:sz w:val="18"/>
                <w:szCs w:val="18"/>
              </w:rPr>
            </w:pPr>
            <w:r>
              <w:rPr>
                <w:rFonts w:hint="eastAsia" w:ascii="宋体" w:hAnsi="宋体"/>
                <w:sz w:val="18"/>
                <w:szCs w:val="18"/>
              </w:rPr>
              <w:t>复印纸</w:t>
            </w:r>
          </w:p>
        </w:tc>
        <w:tc>
          <w:tcPr>
            <w:tcW w:w="1250" w:type="pct"/>
            <w:gridSpan w:val="2"/>
            <w:shd w:val="clear" w:color="auto" w:fill="auto"/>
            <w:vAlign w:val="center"/>
          </w:tcPr>
          <w:p w14:paraId="07A83666">
            <w:pPr>
              <w:spacing w:line="240" w:lineRule="auto"/>
              <w:jc w:val="center"/>
              <w:rPr>
                <w:rFonts w:hint="eastAsia" w:ascii="宋体" w:hAnsi="宋体"/>
                <w:sz w:val="18"/>
                <w:szCs w:val="18"/>
              </w:rPr>
            </w:pPr>
            <w:r>
              <w:rPr>
                <w:rFonts w:hint="eastAsia" w:ascii="宋体" w:hAnsi="宋体"/>
                <w:kern w:val="0"/>
                <w:sz w:val="18"/>
                <w:szCs w:val="18"/>
              </w:rPr>
              <w:t xml:space="preserve">≤ </w:t>
            </w:r>
            <w:r>
              <w:rPr>
                <w:rFonts w:hint="eastAsia" w:ascii="宋体" w:hAnsi="宋体"/>
                <w:sz w:val="18"/>
                <w:szCs w:val="18"/>
              </w:rPr>
              <w:t>500</w:t>
            </w:r>
          </w:p>
        </w:tc>
        <w:tc>
          <w:tcPr>
            <w:tcW w:w="1255" w:type="pct"/>
            <w:shd w:val="clear" w:color="auto" w:fill="auto"/>
            <w:vAlign w:val="center"/>
          </w:tcPr>
          <w:p w14:paraId="5B3B9955">
            <w:pPr>
              <w:spacing w:line="240" w:lineRule="auto"/>
              <w:jc w:val="center"/>
              <w:rPr>
                <w:rFonts w:hint="eastAsia" w:ascii="宋体" w:hAnsi="宋体"/>
                <w:kern w:val="0"/>
                <w:sz w:val="18"/>
                <w:szCs w:val="18"/>
              </w:rPr>
            </w:pPr>
            <w:r>
              <w:rPr>
                <w:rFonts w:hint="eastAsia" w:ascii="宋体" w:hAnsi="宋体"/>
                <w:kern w:val="0"/>
                <w:sz w:val="18"/>
                <w:szCs w:val="18"/>
              </w:rPr>
              <w:t xml:space="preserve">≤ </w:t>
            </w:r>
            <w:r>
              <w:rPr>
                <w:rFonts w:hint="eastAsia" w:ascii="宋体" w:hAnsi="宋体"/>
                <w:sz w:val="18"/>
                <w:szCs w:val="18"/>
              </w:rPr>
              <w:t>450</w:t>
            </w:r>
          </w:p>
        </w:tc>
      </w:tr>
      <w:tr w14:paraId="2311B66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494" w:type="pct"/>
            <w:shd w:val="clear" w:color="auto" w:fill="auto"/>
            <w:vAlign w:val="center"/>
          </w:tcPr>
          <w:p w14:paraId="07C8AB69">
            <w:pPr>
              <w:spacing w:line="240" w:lineRule="auto"/>
              <w:jc w:val="center"/>
              <w:rPr>
                <w:rFonts w:hint="eastAsia" w:ascii="宋体" w:hAnsi="宋体"/>
                <w:sz w:val="18"/>
                <w:szCs w:val="18"/>
              </w:rPr>
            </w:pPr>
            <w:bookmarkStart w:id="392" w:name="_Toc482862480"/>
            <w:bookmarkEnd w:id="392"/>
            <w:r>
              <w:rPr>
                <w:rFonts w:hint="eastAsia" w:ascii="宋体" w:hAnsi="宋体"/>
                <w:sz w:val="18"/>
                <w:szCs w:val="18"/>
              </w:rPr>
              <w:t>铜版原纸</w:t>
            </w:r>
          </w:p>
        </w:tc>
        <w:tc>
          <w:tcPr>
            <w:tcW w:w="1251" w:type="pct"/>
            <w:gridSpan w:val="2"/>
            <w:shd w:val="clear" w:color="auto" w:fill="auto"/>
            <w:vAlign w:val="center"/>
          </w:tcPr>
          <w:p w14:paraId="38647D03">
            <w:pPr>
              <w:spacing w:line="240" w:lineRule="auto"/>
              <w:jc w:val="center"/>
              <w:rPr>
                <w:rFonts w:hint="eastAsia" w:ascii="宋体" w:hAnsi="宋体"/>
                <w:sz w:val="18"/>
                <w:szCs w:val="18"/>
              </w:rPr>
            </w:pPr>
            <w:r>
              <w:rPr>
                <w:rFonts w:hint="eastAsia" w:ascii="宋体" w:hAnsi="宋体"/>
                <w:kern w:val="0"/>
                <w:sz w:val="18"/>
                <w:szCs w:val="18"/>
              </w:rPr>
              <w:t xml:space="preserve">≤ </w:t>
            </w:r>
            <w:r>
              <w:rPr>
                <w:rFonts w:hint="eastAsia" w:ascii="宋体" w:hAnsi="宋体"/>
                <w:sz w:val="18"/>
                <w:szCs w:val="18"/>
              </w:rPr>
              <w:t>470</w:t>
            </w:r>
          </w:p>
        </w:tc>
        <w:tc>
          <w:tcPr>
            <w:tcW w:w="1254" w:type="pct"/>
            <w:shd w:val="clear" w:color="auto" w:fill="auto"/>
            <w:vAlign w:val="center"/>
          </w:tcPr>
          <w:p w14:paraId="021CB9D4">
            <w:pPr>
              <w:spacing w:line="240" w:lineRule="auto"/>
              <w:jc w:val="center"/>
              <w:rPr>
                <w:rFonts w:hint="eastAsia" w:ascii="宋体" w:hAnsi="宋体"/>
                <w:kern w:val="0"/>
                <w:sz w:val="18"/>
                <w:szCs w:val="18"/>
              </w:rPr>
            </w:pPr>
            <w:r>
              <w:rPr>
                <w:rFonts w:hint="eastAsia" w:ascii="宋体" w:hAnsi="宋体"/>
                <w:kern w:val="0"/>
                <w:sz w:val="18"/>
                <w:szCs w:val="18"/>
              </w:rPr>
              <w:t xml:space="preserve">≤ </w:t>
            </w:r>
            <w:r>
              <w:rPr>
                <w:rFonts w:hint="eastAsia" w:ascii="宋体" w:hAnsi="宋体"/>
                <w:sz w:val="18"/>
                <w:szCs w:val="18"/>
              </w:rPr>
              <w:t>420</w:t>
            </w:r>
          </w:p>
        </w:tc>
      </w:tr>
      <w:tr w14:paraId="4419CC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5000" w:type="pct"/>
            <w:gridSpan w:val="4"/>
            <w:shd w:val="clear" w:color="auto" w:fill="auto"/>
            <w:vAlign w:val="center"/>
          </w:tcPr>
          <w:p w14:paraId="798F9D0E">
            <w:pPr>
              <w:pStyle w:val="183"/>
              <w:numPr>
                <w:ilvl w:val="0"/>
                <w:numId w:val="35"/>
              </w:numPr>
              <w:rPr>
                <w:rFonts w:hint="eastAsia" w:hAnsi="宋体"/>
                <w:kern w:val="2"/>
              </w:rPr>
            </w:pPr>
            <w:r>
              <w:rPr>
                <w:rFonts w:hint="eastAsia" w:hAnsi="宋体"/>
              </w:rPr>
              <w:t>复印纸若为原纸产品，单位产品综合能耗限定值/准入值扣减30</w:t>
            </w:r>
            <w:r>
              <w:rPr>
                <w:rFonts w:hAnsi="宋体"/>
              </w:rPr>
              <w:t xml:space="preserve"> </w:t>
            </w:r>
            <w:r>
              <w:rPr>
                <w:rFonts w:hint="eastAsia" w:hAnsi="宋体"/>
              </w:rPr>
              <w:t>kgce/t。</w:t>
            </w:r>
          </w:p>
          <w:p w14:paraId="15891ACC">
            <w:pPr>
              <w:pStyle w:val="183"/>
              <w:rPr>
                <w:rFonts w:hint="eastAsia" w:hAnsi="宋体"/>
              </w:rPr>
            </w:pPr>
            <w:r>
              <w:rPr>
                <w:rFonts w:hint="eastAsia" w:hAnsi="宋体"/>
              </w:rPr>
              <w:t>铜版纸准入值基准定量为128</w:t>
            </w:r>
            <w:r>
              <w:rPr>
                <w:rFonts w:hAnsi="宋体"/>
              </w:rPr>
              <w:t xml:space="preserve"> </w:t>
            </w:r>
            <w:r>
              <w:rPr>
                <w:rFonts w:hint="eastAsia" w:hAnsi="宋体"/>
              </w:rPr>
              <w:t>g/m</w:t>
            </w:r>
            <w:r>
              <w:rPr>
                <w:rFonts w:hint="eastAsia" w:hAnsi="宋体"/>
                <w:vertAlign w:val="superscript"/>
              </w:rPr>
              <w:t>2</w:t>
            </w:r>
            <w:r>
              <w:rPr>
                <w:rFonts w:hint="eastAsia" w:hAnsi="宋体"/>
              </w:rPr>
              <w:t>及以下产品，若定量每增加10</w:t>
            </w:r>
            <w:r>
              <w:rPr>
                <w:rFonts w:hAnsi="宋体"/>
              </w:rPr>
              <w:t xml:space="preserve"> </w:t>
            </w:r>
            <w:r>
              <w:rPr>
                <w:rFonts w:hint="eastAsia" w:hAnsi="宋体"/>
              </w:rPr>
              <w:t>g/m</w:t>
            </w:r>
            <w:r>
              <w:rPr>
                <w:rFonts w:hint="eastAsia" w:hAnsi="宋体"/>
                <w:vertAlign w:val="superscript"/>
              </w:rPr>
              <w:t>2</w:t>
            </w:r>
            <w:r>
              <w:rPr>
                <w:rFonts w:hint="eastAsia" w:hAnsi="宋体"/>
              </w:rPr>
              <w:t>，单位产品综合能耗限定值/准入值递减9</w:t>
            </w:r>
            <w:r>
              <w:rPr>
                <w:rFonts w:hAnsi="宋体"/>
              </w:rPr>
              <w:t xml:space="preserve"> </w:t>
            </w:r>
            <w:r>
              <w:rPr>
                <w:rFonts w:hint="eastAsia" w:hAnsi="宋体"/>
              </w:rPr>
              <w:t>kgce/t。</w:t>
            </w:r>
          </w:p>
          <w:p w14:paraId="47D5CF90">
            <w:pPr>
              <w:pStyle w:val="183"/>
              <w:rPr>
                <w:rFonts w:hint="eastAsia" w:hAnsi="宋体"/>
              </w:rPr>
            </w:pPr>
            <w:r>
              <w:rPr>
                <w:rFonts w:hint="eastAsia" w:hAnsi="宋体"/>
              </w:rPr>
              <w:t>有自备热电站或自备工业锅炉时，按实际煤耗折标准煤计算，外供电力、蒸汽时，按实际煤耗折标准煤计算进行扣减。外购电力、蒸汽时，按等价值折标准煤系数计算，电力折标准煤系数采用0.33</w:t>
            </w:r>
            <w:r>
              <w:rPr>
                <w:rFonts w:hAnsi="宋体"/>
              </w:rPr>
              <w:t xml:space="preserve"> </w:t>
            </w:r>
            <w:r>
              <w:rPr>
                <w:rFonts w:hint="eastAsia" w:hAnsi="宋体"/>
              </w:rPr>
              <w:t>kgce/kW</w:t>
            </w:r>
            <w:r>
              <w:rPr>
                <w:rFonts w:hint="default" w:ascii="Times New Roman" w:hAnsi="Times New Roman" w:cs="Times New Roman"/>
                <w:sz w:val="18"/>
                <w:szCs w:val="18"/>
              </w:rPr>
              <w:t>·</w:t>
            </w:r>
            <w:r>
              <w:rPr>
                <w:rFonts w:hint="eastAsia" w:hAnsi="宋体"/>
              </w:rPr>
              <w:t>h。</w:t>
            </w:r>
          </w:p>
          <w:p w14:paraId="70889DC7">
            <w:pPr>
              <w:pStyle w:val="183"/>
              <w:rPr>
                <w:rFonts w:hint="eastAsia" w:hAnsi="宋体"/>
              </w:rPr>
            </w:pPr>
            <w:r>
              <w:rPr>
                <w:rFonts w:hint="eastAsia" w:hAnsi="宋体"/>
              </w:rPr>
              <w:t>新水折标准煤系数采用0.0857</w:t>
            </w:r>
            <w:r>
              <w:rPr>
                <w:rFonts w:hAnsi="宋体"/>
              </w:rPr>
              <w:t xml:space="preserve"> </w:t>
            </w:r>
            <w:r>
              <w:rPr>
                <w:rFonts w:hint="eastAsia" w:hAnsi="宋体"/>
              </w:rPr>
              <w:t>kgce/t。</w:t>
            </w:r>
          </w:p>
        </w:tc>
      </w:tr>
    </w:tbl>
    <w:p w14:paraId="2CCD427E">
      <w:pPr>
        <w:pStyle w:val="108"/>
        <w:spacing w:before="156" w:after="156"/>
      </w:pPr>
      <w:bookmarkStart w:id="393" w:name="_Toc496771304"/>
      <w:bookmarkStart w:id="394" w:name="_Toc496881041"/>
      <w:bookmarkStart w:id="395" w:name="_Toc10967"/>
      <w:bookmarkStart w:id="396" w:name="_Toc502760508"/>
      <w:bookmarkStart w:id="397" w:name="_Toc175504963"/>
      <w:bookmarkStart w:id="398" w:name="_Toc6609"/>
      <w:bookmarkStart w:id="399" w:name="_Toc175690949"/>
      <w:bookmarkStart w:id="400" w:name="_Toc1745"/>
      <w:r>
        <w:rPr>
          <w:rFonts w:hint="eastAsia"/>
        </w:rPr>
        <w:t>生活用纸</w:t>
      </w:r>
      <w:bookmarkEnd w:id="393"/>
      <w:bookmarkEnd w:id="394"/>
      <w:bookmarkEnd w:id="395"/>
      <w:bookmarkEnd w:id="396"/>
      <w:bookmarkEnd w:id="397"/>
      <w:bookmarkEnd w:id="398"/>
      <w:bookmarkEnd w:id="399"/>
      <w:bookmarkEnd w:id="400"/>
    </w:p>
    <w:p w14:paraId="597CA01B">
      <w:pPr>
        <w:pStyle w:val="68"/>
        <w:spacing w:before="156" w:after="156"/>
      </w:pPr>
      <w:r>
        <w:rPr>
          <w:rFonts w:hint="eastAsia"/>
        </w:rPr>
        <w:t>适用对象</w:t>
      </w:r>
    </w:p>
    <w:p w14:paraId="1D171ED3">
      <w:pPr>
        <w:pStyle w:val="59"/>
        <w:ind w:firstLine="420"/>
      </w:pPr>
      <w:r>
        <w:rPr>
          <w:rFonts w:hint="eastAsia"/>
        </w:rPr>
        <w:t>适用于生活用纸（不含制浆）生产企业进行单位产品综合能耗的计算、考核与评价。</w:t>
      </w:r>
    </w:p>
    <w:p w14:paraId="1B065787">
      <w:pPr>
        <w:pStyle w:val="68"/>
        <w:spacing w:before="156" w:after="156"/>
      </w:pPr>
      <w:r>
        <w:rPr>
          <w:rFonts w:hint="eastAsia"/>
        </w:rPr>
        <w:t>生活用纸单位产品综合能耗限定值和准入值</w:t>
      </w:r>
    </w:p>
    <w:p w14:paraId="5D588579">
      <w:pPr>
        <w:pStyle w:val="59"/>
        <w:ind w:firstLine="420"/>
      </w:pPr>
      <w:r>
        <w:rPr>
          <w:rFonts w:hint="eastAsia"/>
        </w:rPr>
        <w:t>现有企业生活用纸单位产品综合能耗限定值，新建企业、现有企业改扩建项目生活用纸单位产品综合能耗准入值应符合表12的规定。</w:t>
      </w:r>
    </w:p>
    <w:p w14:paraId="28054BF9">
      <w:pPr>
        <w:pStyle w:val="115"/>
        <w:spacing w:before="156" w:after="156"/>
      </w:pPr>
      <w:r>
        <w:rPr>
          <w:rFonts w:hint="eastAsia"/>
        </w:rPr>
        <w:t>生活用纸单位产品综合能耗限定值和准入值</w:t>
      </w:r>
    </w:p>
    <w:tbl>
      <w:tblPr>
        <w:tblStyle w:val="28"/>
        <w:tblW w:w="5070" w:type="pct"/>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0" w:type="dxa"/>
          <w:bottom w:w="0" w:type="dxa"/>
          <w:right w:w="0" w:type="dxa"/>
        </w:tblCellMar>
      </w:tblPr>
      <w:tblGrid>
        <w:gridCol w:w="1483"/>
        <w:gridCol w:w="2083"/>
        <w:gridCol w:w="2477"/>
        <w:gridCol w:w="3462"/>
      </w:tblGrid>
      <w:tr w14:paraId="047F772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780" w:type="pct"/>
            <w:tcBorders>
              <w:top w:val="single" w:color="000000" w:sz="8" w:space="0"/>
              <w:bottom w:val="single" w:color="000000" w:sz="8" w:space="0"/>
            </w:tcBorders>
            <w:shd w:val="clear" w:color="auto" w:fill="auto"/>
            <w:vAlign w:val="center"/>
          </w:tcPr>
          <w:p w14:paraId="6E406134">
            <w:pPr>
              <w:spacing w:line="240" w:lineRule="auto"/>
              <w:jc w:val="center"/>
              <w:rPr>
                <w:rFonts w:hint="eastAsia" w:ascii="宋体" w:hAnsi="宋体"/>
                <w:spacing w:val="20"/>
                <w:sz w:val="18"/>
                <w:szCs w:val="18"/>
              </w:rPr>
            </w:pPr>
            <w:r>
              <w:rPr>
                <w:rFonts w:hint="eastAsia" w:ascii="宋体" w:hAnsi="宋体"/>
                <w:sz w:val="18"/>
                <w:szCs w:val="18"/>
              </w:rPr>
              <w:t>产品分类</w:t>
            </w:r>
          </w:p>
          <w:p w14:paraId="36DDE840">
            <w:pPr>
              <w:spacing w:line="240" w:lineRule="auto"/>
              <w:jc w:val="center"/>
              <w:rPr>
                <w:rFonts w:hint="eastAsia" w:ascii="宋体" w:hAnsi="宋体"/>
                <w:spacing w:val="20"/>
                <w:sz w:val="18"/>
                <w:szCs w:val="18"/>
              </w:rPr>
            </w:pPr>
            <w:r>
              <w:rPr>
                <w:rFonts w:hint="eastAsia" w:ascii="宋体" w:hAnsi="宋体"/>
                <w:sz w:val="18"/>
                <w:szCs w:val="18"/>
              </w:rPr>
              <w:t>定量g/m</w:t>
            </w:r>
            <w:r>
              <w:rPr>
                <w:rFonts w:hint="eastAsia" w:ascii="宋体" w:hAnsi="宋体"/>
                <w:sz w:val="18"/>
                <w:szCs w:val="18"/>
                <w:vertAlign w:val="superscript"/>
              </w:rPr>
              <w:t>2</w:t>
            </w:r>
          </w:p>
        </w:tc>
        <w:tc>
          <w:tcPr>
            <w:tcW w:w="1096" w:type="pct"/>
            <w:tcBorders>
              <w:top w:val="single" w:color="000000" w:sz="8" w:space="0"/>
              <w:bottom w:val="single" w:color="000000" w:sz="8" w:space="0"/>
            </w:tcBorders>
            <w:shd w:val="clear" w:color="auto" w:fill="auto"/>
            <w:vAlign w:val="center"/>
          </w:tcPr>
          <w:p w14:paraId="7A23A980">
            <w:pPr>
              <w:snapToGrid w:val="0"/>
              <w:spacing w:line="240" w:lineRule="auto"/>
              <w:jc w:val="center"/>
              <w:rPr>
                <w:rFonts w:hint="eastAsia" w:ascii="宋体" w:hAnsi="宋体"/>
                <w:sz w:val="18"/>
                <w:szCs w:val="18"/>
              </w:rPr>
            </w:pPr>
            <w:r>
              <w:rPr>
                <w:rFonts w:hint="eastAsia" w:ascii="宋体" w:hAnsi="宋体"/>
                <w:sz w:val="18"/>
                <w:szCs w:val="18"/>
              </w:rPr>
              <w:t>单位产品综合能耗限定值</w:t>
            </w:r>
          </w:p>
          <w:p w14:paraId="452A93ED">
            <w:pPr>
              <w:snapToGrid w:val="0"/>
              <w:spacing w:line="240" w:lineRule="auto"/>
              <w:jc w:val="center"/>
              <w:rPr>
                <w:rFonts w:hint="eastAsia" w:ascii="宋体" w:hAnsi="宋体"/>
                <w:sz w:val="18"/>
                <w:szCs w:val="18"/>
                <w:vertAlign w:val="superscript"/>
              </w:rPr>
            </w:pPr>
            <w:r>
              <w:rPr>
                <w:rFonts w:hint="eastAsia" w:ascii="宋体" w:hAnsi="宋体"/>
                <w:sz w:val="18"/>
                <w:szCs w:val="18"/>
              </w:rPr>
              <w:t>等价值kgce/t</w:t>
            </w:r>
          </w:p>
        </w:tc>
        <w:tc>
          <w:tcPr>
            <w:tcW w:w="1303" w:type="pct"/>
            <w:tcBorders>
              <w:top w:val="single" w:color="000000" w:sz="8" w:space="0"/>
              <w:bottom w:val="single" w:color="000000" w:sz="8" w:space="0"/>
            </w:tcBorders>
            <w:shd w:val="clear" w:color="auto" w:fill="auto"/>
            <w:vAlign w:val="center"/>
          </w:tcPr>
          <w:p w14:paraId="0D79D1D4">
            <w:pPr>
              <w:spacing w:line="240" w:lineRule="auto"/>
              <w:jc w:val="center"/>
              <w:rPr>
                <w:rFonts w:hint="eastAsia" w:ascii="宋体" w:hAnsi="宋体"/>
                <w:sz w:val="18"/>
                <w:szCs w:val="18"/>
              </w:rPr>
            </w:pPr>
            <w:r>
              <w:rPr>
                <w:rFonts w:hint="eastAsia" w:ascii="宋体" w:hAnsi="宋体"/>
                <w:sz w:val="18"/>
                <w:szCs w:val="18"/>
              </w:rPr>
              <w:t>单位产品综合能耗准入值</w:t>
            </w:r>
          </w:p>
          <w:p w14:paraId="1573669E">
            <w:pPr>
              <w:spacing w:line="240" w:lineRule="auto"/>
              <w:jc w:val="center"/>
              <w:rPr>
                <w:rFonts w:hint="eastAsia" w:ascii="宋体" w:hAnsi="宋体"/>
                <w:sz w:val="18"/>
                <w:szCs w:val="18"/>
                <w:vertAlign w:val="superscript"/>
              </w:rPr>
            </w:pPr>
            <w:r>
              <w:rPr>
                <w:rFonts w:hint="eastAsia" w:ascii="宋体" w:hAnsi="宋体"/>
                <w:sz w:val="18"/>
                <w:szCs w:val="18"/>
              </w:rPr>
              <w:t>等价值kgce/t</w:t>
            </w:r>
          </w:p>
        </w:tc>
        <w:tc>
          <w:tcPr>
            <w:tcW w:w="1819" w:type="pct"/>
            <w:tcBorders>
              <w:top w:val="single" w:color="000000" w:sz="8" w:space="0"/>
              <w:bottom w:val="single" w:color="000000" w:sz="8" w:space="0"/>
            </w:tcBorders>
            <w:shd w:val="clear" w:color="auto" w:fill="auto"/>
            <w:vAlign w:val="center"/>
          </w:tcPr>
          <w:p w14:paraId="07348282">
            <w:pPr>
              <w:spacing w:line="240" w:lineRule="auto"/>
              <w:jc w:val="center"/>
              <w:rPr>
                <w:rFonts w:hint="eastAsia" w:ascii="宋体" w:hAnsi="宋体"/>
                <w:sz w:val="18"/>
                <w:szCs w:val="18"/>
                <w:vertAlign w:val="superscript"/>
              </w:rPr>
            </w:pPr>
            <w:r>
              <w:rPr>
                <w:rFonts w:hint="eastAsia" w:ascii="宋体" w:hAnsi="宋体"/>
                <w:sz w:val="18"/>
                <w:szCs w:val="18"/>
              </w:rPr>
              <w:t>备  注</w:t>
            </w:r>
          </w:p>
        </w:tc>
      </w:tr>
      <w:tr w14:paraId="0BA4849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780" w:type="pct"/>
            <w:tcBorders>
              <w:top w:val="single" w:color="000000" w:sz="8" w:space="0"/>
            </w:tcBorders>
            <w:shd w:val="clear" w:color="auto" w:fill="auto"/>
            <w:vAlign w:val="center"/>
          </w:tcPr>
          <w:p w14:paraId="290B5A1B">
            <w:pPr>
              <w:pStyle w:val="234"/>
              <w:ind w:firstLine="0" w:firstLineChars="0"/>
              <w:jc w:val="center"/>
              <w:rPr>
                <w:rFonts w:hint="eastAsia" w:hAnsi="宋体"/>
                <w:sz w:val="18"/>
                <w:szCs w:val="18"/>
              </w:rPr>
            </w:pPr>
            <w:r>
              <w:rPr>
                <w:rFonts w:hint="eastAsia" w:hAnsi="宋体"/>
                <w:sz w:val="18"/>
                <w:szCs w:val="18"/>
              </w:rPr>
              <w:t>11～17</w:t>
            </w:r>
          </w:p>
        </w:tc>
        <w:tc>
          <w:tcPr>
            <w:tcW w:w="1096" w:type="pct"/>
            <w:tcBorders>
              <w:top w:val="single" w:color="000000" w:sz="8" w:space="0"/>
            </w:tcBorders>
            <w:shd w:val="clear" w:color="auto" w:fill="auto"/>
            <w:vAlign w:val="center"/>
          </w:tcPr>
          <w:p w14:paraId="338C7B1A">
            <w:pPr>
              <w:pStyle w:val="234"/>
              <w:ind w:firstLine="0" w:firstLineChars="0"/>
              <w:jc w:val="center"/>
              <w:rPr>
                <w:rFonts w:hint="eastAsia" w:hAnsi="宋体"/>
                <w:sz w:val="18"/>
                <w:szCs w:val="18"/>
              </w:rPr>
            </w:pPr>
            <w:r>
              <w:rPr>
                <w:rFonts w:hint="eastAsia" w:hAnsi="宋体"/>
                <w:spacing w:val="20"/>
                <w:sz w:val="18"/>
                <w:szCs w:val="18"/>
              </w:rPr>
              <w:t>≤8</w:t>
            </w:r>
            <w:r>
              <w:rPr>
                <w:rFonts w:hAnsi="宋体"/>
                <w:spacing w:val="20"/>
                <w:sz w:val="18"/>
                <w:szCs w:val="18"/>
              </w:rPr>
              <w:t>80</w:t>
            </w:r>
          </w:p>
        </w:tc>
        <w:tc>
          <w:tcPr>
            <w:tcW w:w="1303" w:type="pct"/>
            <w:tcBorders>
              <w:top w:val="single" w:color="000000" w:sz="8" w:space="0"/>
            </w:tcBorders>
            <w:shd w:val="clear" w:color="auto" w:fill="auto"/>
            <w:vAlign w:val="center"/>
          </w:tcPr>
          <w:p w14:paraId="2F5B5E40">
            <w:pPr>
              <w:pStyle w:val="234"/>
              <w:ind w:firstLine="0" w:firstLineChars="0"/>
              <w:jc w:val="center"/>
              <w:rPr>
                <w:rFonts w:hint="eastAsia" w:hAnsi="宋体"/>
                <w:sz w:val="18"/>
                <w:szCs w:val="18"/>
              </w:rPr>
            </w:pPr>
            <w:r>
              <w:rPr>
                <w:rFonts w:hint="eastAsia" w:hAnsi="宋体"/>
                <w:sz w:val="18"/>
                <w:szCs w:val="18"/>
              </w:rPr>
              <w:t>≤ 8</w:t>
            </w:r>
            <w:r>
              <w:rPr>
                <w:rFonts w:hAnsi="宋体"/>
                <w:sz w:val="18"/>
                <w:szCs w:val="18"/>
              </w:rPr>
              <w:t>40</w:t>
            </w:r>
          </w:p>
        </w:tc>
        <w:tc>
          <w:tcPr>
            <w:tcW w:w="1819" w:type="pct"/>
            <w:tcBorders>
              <w:top w:val="single" w:color="000000" w:sz="8" w:space="0"/>
            </w:tcBorders>
            <w:shd w:val="clear" w:color="auto" w:fill="auto"/>
            <w:vAlign w:val="center"/>
          </w:tcPr>
          <w:p w14:paraId="5F3B93DE">
            <w:pPr>
              <w:pStyle w:val="234"/>
              <w:ind w:firstLine="219" w:firstLineChars="122"/>
              <w:rPr>
                <w:rFonts w:hint="eastAsia" w:hAnsi="宋体"/>
                <w:sz w:val="18"/>
                <w:szCs w:val="18"/>
              </w:rPr>
            </w:pPr>
            <w:r>
              <w:rPr>
                <w:rFonts w:hint="eastAsia" w:hAnsi="宋体"/>
                <w:sz w:val="18"/>
                <w:szCs w:val="18"/>
              </w:rPr>
              <w:t>若为原纸产品，单位产品能耗限定值/准入值扣减70</w:t>
            </w:r>
            <w:r>
              <w:rPr>
                <w:rFonts w:hAnsi="宋体"/>
                <w:sz w:val="18"/>
                <w:szCs w:val="18"/>
              </w:rPr>
              <w:t xml:space="preserve"> </w:t>
            </w:r>
            <w:r>
              <w:rPr>
                <w:rFonts w:hint="eastAsia" w:hAnsi="宋体"/>
                <w:sz w:val="18"/>
                <w:szCs w:val="18"/>
              </w:rPr>
              <w:t>kgce</w:t>
            </w:r>
          </w:p>
        </w:tc>
      </w:tr>
      <w:tr w14:paraId="09DE32D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780" w:type="pct"/>
            <w:shd w:val="clear" w:color="auto" w:fill="auto"/>
            <w:vAlign w:val="center"/>
          </w:tcPr>
          <w:p w14:paraId="417F5FA2">
            <w:pPr>
              <w:pStyle w:val="234"/>
              <w:ind w:firstLine="0" w:firstLineChars="0"/>
              <w:jc w:val="center"/>
              <w:rPr>
                <w:rFonts w:hint="eastAsia" w:hAnsi="宋体"/>
                <w:sz w:val="18"/>
                <w:szCs w:val="18"/>
              </w:rPr>
            </w:pPr>
            <w:r>
              <w:rPr>
                <w:rFonts w:hint="eastAsia" w:hAnsi="宋体"/>
                <w:sz w:val="18"/>
                <w:szCs w:val="18"/>
              </w:rPr>
              <w:t>＞ 17～30</w:t>
            </w:r>
          </w:p>
        </w:tc>
        <w:tc>
          <w:tcPr>
            <w:tcW w:w="1096" w:type="pct"/>
            <w:shd w:val="clear" w:color="auto" w:fill="auto"/>
            <w:vAlign w:val="center"/>
          </w:tcPr>
          <w:p w14:paraId="4E84AE54">
            <w:pPr>
              <w:pStyle w:val="234"/>
              <w:ind w:firstLine="0" w:firstLineChars="0"/>
              <w:jc w:val="center"/>
              <w:rPr>
                <w:rFonts w:hint="eastAsia" w:hAnsi="宋体"/>
                <w:sz w:val="18"/>
                <w:szCs w:val="18"/>
              </w:rPr>
            </w:pPr>
            <w:r>
              <w:rPr>
                <w:rFonts w:hint="eastAsia" w:hAnsi="宋体"/>
                <w:kern w:val="2"/>
                <w:sz w:val="18"/>
                <w:szCs w:val="18"/>
              </w:rPr>
              <w:t>≤ 800</w:t>
            </w:r>
          </w:p>
        </w:tc>
        <w:tc>
          <w:tcPr>
            <w:tcW w:w="1303" w:type="pct"/>
            <w:shd w:val="clear" w:color="auto" w:fill="auto"/>
            <w:vAlign w:val="center"/>
          </w:tcPr>
          <w:p w14:paraId="5320BC9C">
            <w:pPr>
              <w:pStyle w:val="234"/>
              <w:ind w:firstLine="0" w:firstLineChars="0"/>
              <w:jc w:val="center"/>
              <w:rPr>
                <w:rFonts w:hint="eastAsia" w:hAnsi="宋体"/>
                <w:sz w:val="18"/>
                <w:szCs w:val="18"/>
              </w:rPr>
            </w:pPr>
            <w:r>
              <w:rPr>
                <w:rFonts w:hint="eastAsia" w:hAnsi="宋体"/>
                <w:kern w:val="2"/>
                <w:sz w:val="18"/>
                <w:szCs w:val="18"/>
              </w:rPr>
              <w:t>≤ 760</w:t>
            </w:r>
          </w:p>
        </w:tc>
        <w:tc>
          <w:tcPr>
            <w:tcW w:w="1819" w:type="pct"/>
            <w:shd w:val="clear" w:color="auto" w:fill="auto"/>
            <w:vAlign w:val="center"/>
          </w:tcPr>
          <w:p w14:paraId="29F07C53">
            <w:pPr>
              <w:pStyle w:val="234"/>
              <w:ind w:firstLine="219" w:firstLineChars="122"/>
              <w:rPr>
                <w:rFonts w:hint="eastAsia" w:hAnsi="宋体"/>
                <w:sz w:val="18"/>
                <w:szCs w:val="18"/>
              </w:rPr>
            </w:pPr>
            <w:r>
              <w:rPr>
                <w:rFonts w:hint="eastAsia" w:hAnsi="宋体"/>
                <w:sz w:val="18"/>
                <w:szCs w:val="18"/>
              </w:rPr>
              <w:t>若为原纸产品，单位产品能耗限定值/准入值扣减60</w:t>
            </w:r>
            <w:r>
              <w:rPr>
                <w:rFonts w:hAnsi="宋体"/>
                <w:sz w:val="18"/>
                <w:szCs w:val="18"/>
              </w:rPr>
              <w:t xml:space="preserve"> </w:t>
            </w:r>
            <w:r>
              <w:rPr>
                <w:rFonts w:hint="eastAsia" w:hAnsi="宋体"/>
                <w:sz w:val="18"/>
                <w:szCs w:val="18"/>
              </w:rPr>
              <w:t>kgce</w:t>
            </w:r>
          </w:p>
        </w:tc>
      </w:tr>
      <w:tr w14:paraId="14A3862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780" w:type="pct"/>
            <w:shd w:val="clear" w:color="auto" w:fill="auto"/>
            <w:vAlign w:val="center"/>
          </w:tcPr>
          <w:p w14:paraId="2C519F9A">
            <w:pPr>
              <w:pStyle w:val="234"/>
              <w:ind w:firstLine="0" w:firstLineChars="0"/>
              <w:jc w:val="center"/>
              <w:rPr>
                <w:rFonts w:hint="eastAsia" w:hAnsi="宋体"/>
                <w:sz w:val="18"/>
                <w:szCs w:val="18"/>
              </w:rPr>
            </w:pPr>
            <w:r>
              <w:rPr>
                <w:rFonts w:hint="eastAsia" w:hAnsi="宋体"/>
                <w:sz w:val="18"/>
                <w:szCs w:val="18"/>
              </w:rPr>
              <w:t>＞ 30</w:t>
            </w:r>
          </w:p>
        </w:tc>
        <w:tc>
          <w:tcPr>
            <w:tcW w:w="1096" w:type="pct"/>
            <w:shd w:val="clear" w:color="auto" w:fill="auto"/>
            <w:vAlign w:val="center"/>
          </w:tcPr>
          <w:p w14:paraId="52649895">
            <w:pPr>
              <w:pStyle w:val="234"/>
              <w:ind w:firstLine="0" w:firstLineChars="0"/>
              <w:jc w:val="center"/>
              <w:rPr>
                <w:rFonts w:hint="eastAsia" w:hAnsi="宋体"/>
                <w:sz w:val="18"/>
                <w:szCs w:val="18"/>
              </w:rPr>
            </w:pPr>
            <w:r>
              <w:rPr>
                <w:rFonts w:hint="eastAsia" w:hAnsi="宋体"/>
                <w:sz w:val="18"/>
                <w:szCs w:val="18"/>
              </w:rPr>
              <w:t>≤ 640</w:t>
            </w:r>
          </w:p>
        </w:tc>
        <w:tc>
          <w:tcPr>
            <w:tcW w:w="1303" w:type="pct"/>
            <w:shd w:val="clear" w:color="auto" w:fill="auto"/>
            <w:vAlign w:val="center"/>
          </w:tcPr>
          <w:p w14:paraId="783E6A76">
            <w:pPr>
              <w:pStyle w:val="234"/>
              <w:ind w:firstLine="0" w:firstLineChars="0"/>
              <w:jc w:val="center"/>
              <w:rPr>
                <w:rFonts w:hint="eastAsia" w:hAnsi="宋体"/>
                <w:sz w:val="18"/>
                <w:szCs w:val="18"/>
              </w:rPr>
            </w:pPr>
            <w:r>
              <w:rPr>
                <w:rFonts w:hint="eastAsia" w:hAnsi="宋体"/>
                <w:sz w:val="18"/>
                <w:szCs w:val="18"/>
              </w:rPr>
              <w:t>≤ 600</w:t>
            </w:r>
          </w:p>
        </w:tc>
        <w:tc>
          <w:tcPr>
            <w:tcW w:w="1819" w:type="pct"/>
            <w:shd w:val="clear" w:color="auto" w:fill="auto"/>
            <w:vAlign w:val="center"/>
          </w:tcPr>
          <w:p w14:paraId="0D872502">
            <w:pPr>
              <w:pStyle w:val="234"/>
              <w:ind w:firstLine="219" w:firstLineChars="122"/>
              <w:rPr>
                <w:rFonts w:hint="eastAsia" w:hAnsi="宋体"/>
                <w:sz w:val="18"/>
                <w:szCs w:val="18"/>
              </w:rPr>
            </w:pPr>
            <w:r>
              <w:rPr>
                <w:rFonts w:hint="eastAsia" w:hAnsi="宋体"/>
                <w:sz w:val="18"/>
                <w:szCs w:val="18"/>
              </w:rPr>
              <w:t>若为原纸产品，单位产品能耗限定值/准入值扣减50</w:t>
            </w:r>
            <w:r>
              <w:rPr>
                <w:rFonts w:hAnsi="宋体"/>
                <w:sz w:val="18"/>
                <w:szCs w:val="18"/>
              </w:rPr>
              <w:t xml:space="preserve"> </w:t>
            </w:r>
            <w:r>
              <w:rPr>
                <w:rFonts w:hint="eastAsia" w:hAnsi="宋体"/>
                <w:sz w:val="18"/>
                <w:szCs w:val="18"/>
              </w:rPr>
              <w:t>kgce</w:t>
            </w:r>
          </w:p>
        </w:tc>
      </w:tr>
      <w:tr w14:paraId="4722CA6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5000" w:type="pct"/>
            <w:gridSpan w:val="4"/>
            <w:shd w:val="clear" w:color="auto" w:fill="auto"/>
            <w:vAlign w:val="center"/>
          </w:tcPr>
          <w:p w14:paraId="605F8559">
            <w:pPr>
              <w:pStyle w:val="183"/>
              <w:numPr>
                <w:ilvl w:val="0"/>
                <w:numId w:val="36"/>
              </w:numPr>
              <w:rPr>
                <w:rFonts w:hint="eastAsia" w:hAnsi="宋体"/>
              </w:rPr>
            </w:pPr>
            <w:r>
              <w:rPr>
                <w:rFonts w:hint="eastAsia" w:hAnsi="宋体"/>
              </w:rPr>
              <w:t>有自备热电站或自备工业锅炉时，按实际煤耗折标准煤计算，外供电力、蒸汽时，按实际煤耗折标准煤计算进行扣减。外购电力、蒸汽时，按等价值折标准煤系数计算，电力折标准煤系数采用0.33</w:t>
            </w:r>
            <w:r>
              <w:rPr>
                <w:rFonts w:hAnsi="宋体"/>
              </w:rPr>
              <w:t xml:space="preserve"> </w:t>
            </w:r>
            <w:r>
              <w:rPr>
                <w:rFonts w:hint="eastAsia" w:hAnsi="宋体"/>
              </w:rPr>
              <w:t>kgce/</w:t>
            </w:r>
            <w:r>
              <w:rPr>
                <w:rFonts w:hAnsi="宋体"/>
              </w:rPr>
              <w:t>kW</w:t>
            </w:r>
            <w:r>
              <w:rPr>
                <w:rFonts w:hint="default" w:ascii="Times New Roman" w:hAnsi="Times New Roman" w:cs="Times New Roman"/>
                <w:sz w:val="18"/>
                <w:szCs w:val="18"/>
              </w:rPr>
              <w:t>·</w:t>
            </w:r>
            <w:r>
              <w:rPr>
                <w:rFonts w:hAnsi="宋体"/>
              </w:rPr>
              <w:t>h</w:t>
            </w:r>
            <w:r>
              <w:rPr>
                <w:rFonts w:hint="eastAsia" w:hAnsi="宋体"/>
              </w:rPr>
              <w:t>。</w:t>
            </w:r>
          </w:p>
          <w:p w14:paraId="4B8BA416">
            <w:pPr>
              <w:pStyle w:val="183"/>
              <w:rPr>
                <w:rFonts w:hint="eastAsia" w:hAnsi="宋体"/>
              </w:rPr>
            </w:pPr>
            <w:r>
              <w:rPr>
                <w:rFonts w:hint="eastAsia" w:hAnsi="宋体"/>
              </w:rPr>
              <w:t>新水折标准煤系数采用0.0857</w:t>
            </w:r>
            <w:r>
              <w:rPr>
                <w:rFonts w:hAnsi="宋体"/>
              </w:rPr>
              <w:t xml:space="preserve"> </w:t>
            </w:r>
            <w:r>
              <w:rPr>
                <w:rFonts w:hint="eastAsia" w:hAnsi="宋体"/>
              </w:rPr>
              <w:t>kgce/t。</w:t>
            </w:r>
          </w:p>
        </w:tc>
      </w:tr>
    </w:tbl>
    <w:p w14:paraId="1CBB3579">
      <w:pPr>
        <w:pStyle w:val="108"/>
        <w:spacing w:before="156" w:after="156"/>
      </w:pPr>
      <w:bookmarkStart w:id="401" w:name="_Toc496771305"/>
      <w:bookmarkStart w:id="402" w:name="_Toc175690950"/>
      <w:bookmarkStart w:id="403" w:name="_Toc492372474"/>
      <w:bookmarkStart w:id="404" w:name="_Toc496881042"/>
      <w:bookmarkStart w:id="405" w:name="_Toc483586508"/>
      <w:bookmarkStart w:id="406" w:name="_Toc24547"/>
      <w:bookmarkStart w:id="407" w:name="_Toc13108"/>
      <w:bookmarkStart w:id="408" w:name="_Toc502760509"/>
      <w:bookmarkStart w:id="409" w:name="_Toc483398298"/>
      <w:bookmarkStart w:id="410" w:name="_Toc492372620"/>
      <w:bookmarkStart w:id="411" w:name="_Toc14191"/>
      <w:bookmarkStart w:id="412" w:name="_Toc175504964"/>
      <w:r>
        <w:rPr>
          <w:rFonts w:hint="eastAsia"/>
        </w:rPr>
        <w:t>包装用纸和纸板</w:t>
      </w:r>
      <w:bookmarkEnd w:id="401"/>
      <w:bookmarkEnd w:id="402"/>
      <w:bookmarkEnd w:id="403"/>
      <w:bookmarkEnd w:id="404"/>
      <w:bookmarkEnd w:id="405"/>
      <w:bookmarkEnd w:id="406"/>
      <w:bookmarkEnd w:id="407"/>
      <w:bookmarkEnd w:id="408"/>
      <w:bookmarkEnd w:id="409"/>
      <w:bookmarkEnd w:id="410"/>
      <w:bookmarkEnd w:id="411"/>
      <w:bookmarkEnd w:id="412"/>
    </w:p>
    <w:p w14:paraId="54FF1FF3">
      <w:pPr>
        <w:pStyle w:val="68"/>
        <w:spacing w:before="156" w:after="156"/>
      </w:pPr>
      <w:bookmarkStart w:id="413" w:name="_Toc482862482"/>
      <w:bookmarkEnd w:id="413"/>
      <w:r>
        <w:rPr>
          <w:rFonts w:hint="eastAsia"/>
        </w:rPr>
        <w:t>适用对象</w:t>
      </w:r>
    </w:p>
    <w:p w14:paraId="5A798192">
      <w:pPr>
        <w:pStyle w:val="59"/>
        <w:spacing w:before="156" w:after="156"/>
        <w:ind w:firstLine="420"/>
      </w:pPr>
      <w:r>
        <w:rPr>
          <w:rFonts w:hint="eastAsia"/>
        </w:rPr>
        <w:t>适用于包装用纸和纸板生产企业进行单位产品综合能耗的计算、考核与评价。</w:t>
      </w:r>
    </w:p>
    <w:p w14:paraId="026CA525">
      <w:pPr>
        <w:pStyle w:val="68"/>
        <w:spacing w:before="156" w:after="156"/>
      </w:pPr>
      <w:r>
        <w:rPr>
          <w:rFonts w:hint="eastAsia"/>
        </w:rPr>
        <w:t xml:space="preserve">包装用纸和纸板单位产品综合能耗限定值和准入值 </w:t>
      </w:r>
    </w:p>
    <w:p w14:paraId="1D082D86">
      <w:pPr>
        <w:pStyle w:val="59"/>
        <w:ind w:firstLine="420"/>
      </w:pPr>
      <w:r>
        <w:rPr>
          <w:rFonts w:hint="eastAsia"/>
        </w:rPr>
        <w:t>现有企业包装用纸和纸板单位产品综合能耗限定值，新建企业、现有企业改扩建项目包装用纸和纸板单位产品综合能耗准入值应符合表13的规定。</w:t>
      </w:r>
    </w:p>
    <w:p w14:paraId="5DC7202F">
      <w:pPr>
        <w:pStyle w:val="115"/>
        <w:spacing w:before="156" w:after="156"/>
      </w:pPr>
      <w:r>
        <w:rPr>
          <w:rFonts w:hint="eastAsia"/>
        </w:rPr>
        <w:t>包装用纸和纸板单位产品综合能耗限定值和准入值</w:t>
      </w:r>
    </w:p>
    <w:tbl>
      <w:tblPr>
        <w:tblStyle w:val="28"/>
        <w:tblW w:w="5028"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444"/>
        <w:gridCol w:w="3129"/>
        <w:gridCol w:w="2853"/>
      </w:tblGrid>
      <w:tr w14:paraId="4B923F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83" w:hRule="atLeast"/>
          <w:jc w:val="center"/>
        </w:trPr>
        <w:tc>
          <w:tcPr>
            <w:tcW w:w="1827" w:type="pct"/>
            <w:tcBorders>
              <w:top w:val="single" w:color="auto" w:sz="8" w:space="0"/>
              <w:bottom w:val="single" w:color="auto" w:sz="8" w:space="0"/>
            </w:tcBorders>
            <w:shd w:val="clear" w:color="auto" w:fill="auto"/>
            <w:vAlign w:val="center"/>
          </w:tcPr>
          <w:p w14:paraId="3B2A85E3">
            <w:pPr>
              <w:pStyle w:val="238"/>
              <w:widowControl w:val="0"/>
              <w:spacing w:beforeLines="0" w:afterLines="0"/>
              <w:rPr>
                <w:rFonts w:hint="eastAsia" w:ascii="宋体" w:hAnsi="宋体" w:eastAsia="宋体"/>
                <w:sz w:val="18"/>
                <w:szCs w:val="18"/>
              </w:rPr>
            </w:pPr>
            <w:r>
              <w:rPr>
                <w:rFonts w:hint="eastAsia" w:ascii="宋体" w:hAnsi="宋体" w:eastAsia="宋体"/>
                <w:sz w:val="18"/>
                <w:szCs w:val="18"/>
              </w:rPr>
              <w:t>产品名称</w:t>
            </w:r>
          </w:p>
        </w:tc>
        <w:tc>
          <w:tcPr>
            <w:tcW w:w="1660" w:type="pct"/>
            <w:tcBorders>
              <w:top w:val="single" w:color="auto" w:sz="8" w:space="0"/>
              <w:bottom w:val="single" w:color="auto" w:sz="8" w:space="0"/>
            </w:tcBorders>
            <w:shd w:val="clear" w:color="auto" w:fill="auto"/>
            <w:vAlign w:val="center"/>
          </w:tcPr>
          <w:p w14:paraId="695F34FF">
            <w:pPr>
              <w:spacing w:line="240" w:lineRule="auto"/>
              <w:jc w:val="center"/>
              <w:rPr>
                <w:rFonts w:hint="eastAsia" w:ascii="宋体" w:hAnsi="宋体"/>
                <w:sz w:val="18"/>
                <w:szCs w:val="18"/>
              </w:rPr>
            </w:pPr>
            <w:r>
              <w:rPr>
                <w:rFonts w:hint="eastAsia" w:ascii="宋体" w:hAnsi="宋体"/>
                <w:sz w:val="18"/>
                <w:szCs w:val="18"/>
              </w:rPr>
              <w:t>单位产品综合能耗限定值</w:t>
            </w:r>
          </w:p>
          <w:p w14:paraId="04810B2F">
            <w:pPr>
              <w:spacing w:line="240" w:lineRule="auto"/>
              <w:jc w:val="center"/>
              <w:rPr>
                <w:rFonts w:hint="eastAsia" w:ascii="宋体" w:hAnsi="宋体"/>
                <w:sz w:val="18"/>
                <w:szCs w:val="18"/>
              </w:rPr>
            </w:pPr>
            <w:r>
              <w:rPr>
                <w:rFonts w:hint="eastAsia" w:ascii="宋体" w:hAnsi="宋体"/>
                <w:sz w:val="18"/>
                <w:szCs w:val="18"/>
              </w:rPr>
              <w:t>等价值</w:t>
            </w:r>
            <w:r>
              <w:rPr>
                <w:rFonts w:hint="eastAsia" w:ascii="宋体" w:hAnsi="宋体"/>
                <w:kern w:val="0"/>
                <w:sz w:val="18"/>
                <w:szCs w:val="18"/>
              </w:rPr>
              <w:t>kgce/t</w:t>
            </w:r>
          </w:p>
        </w:tc>
        <w:tc>
          <w:tcPr>
            <w:tcW w:w="1512" w:type="pct"/>
            <w:tcBorders>
              <w:top w:val="single" w:color="auto" w:sz="8" w:space="0"/>
              <w:bottom w:val="single" w:color="auto" w:sz="8" w:space="0"/>
            </w:tcBorders>
            <w:shd w:val="clear" w:color="auto" w:fill="auto"/>
            <w:vAlign w:val="center"/>
          </w:tcPr>
          <w:p w14:paraId="6596B6CE">
            <w:pPr>
              <w:pStyle w:val="238"/>
              <w:widowControl w:val="0"/>
              <w:spacing w:beforeLines="0" w:afterLines="0"/>
              <w:rPr>
                <w:rFonts w:hint="eastAsia" w:ascii="宋体" w:hAnsi="宋体" w:eastAsia="宋体"/>
                <w:kern w:val="2"/>
                <w:sz w:val="18"/>
                <w:szCs w:val="18"/>
              </w:rPr>
            </w:pPr>
            <w:r>
              <w:rPr>
                <w:rFonts w:hint="eastAsia" w:ascii="宋体" w:hAnsi="宋体" w:eastAsia="宋体"/>
                <w:kern w:val="2"/>
                <w:sz w:val="18"/>
                <w:szCs w:val="18"/>
              </w:rPr>
              <w:t>单位产品综合能耗准入值</w:t>
            </w:r>
          </w:p>
          <w:p w14:paraId="61EFE788">
            <w:pPr>
              <w:spacing w:line="240" w:lineRule="auto"/>
              <w:jc w:val="center"/>
              <w:rPr>
                <w:rFonts w:hint="eastAsia" w:ascii="宋体" w:hAnsi="宋体"/>
                <w:sz w:val="18"/>
                <w:szCs w:val="18"/>
              </w:rPr>
            </w:pPr>
            <w:r>
              <w:rPr>
                <w:rFonts w:hint="eastAsia" w:ascii="宋体" w:hAnsi="宋体"/>
                <w:sz w:val="18"/>
                <w:szCs w:val="18"/>
              </w:rPr>
              <w:t>等价值kgce/t</w:t>
            </w:r>
          </w:p>
        </w:tc>
      </w:tr>
      <w:tr w14:paraId="22838D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7" w:hRule="atLeast"/>
          <w:jc w:val="center"/>
        </w:trPr>
        <w:tc>
          <w:tcPr>
            <w:tcW w:w="1827" w:type="pct"/>
            <w:tcBorders>
              <w:top w:val="single" w:color="auto" w:sz="8" w:space="0"/>
            </w:tcBorders>
            <w:shd w:val="clear" w:color="auto" w:fill="auto"/>
            <w:vAlign w:val="center"/>
          </w:tcPr>
          <w:p w14:paraId="4497E51B">
            <w:pPr>
              <w:pStyle w:val="238"/>
              <w:widowControl w:val="0"/>
              <w:spacing w:beforeLines="0" w:afterLines="0"/>
              <w:rPr>
                <w:rFonts w:hint="eastAsia" w:ascii="宋体" w:hAnsi="宋体" w:eastAsia="宋体"/>
                <w:sz w:val="18"/>
                <w:szCs w:val="18"/>
              </w:rPr>
            </w:pPr>
            <w:r>
              <w:rPr>
                <w:rFonts w:hint="eastAsia" w:ascii="宋体" w:hAnsi="宋体" w:eastAsia="宋体"/>
                <w:sz w:val="18"/>
                <w:szCs w:val="18"/>
              </w:rPr>
              <w:t>白卡纸</w:t>
            </w:r>
          </w:p>
        </w:tc>
        <w:tc>
          <w:tcPr>
            <w:tcW w:w="1660" w:type="pct"/>
            <w:tcBorders>
              <w:top w:val="single" w:color="auto" w:sz="8" w:space="0"/>
            </w:tcBorders>
            <w:shd w:val="clear" w:color="auto" w:fill="auto"/>
            <w:vAlign w:val="center"/>
          </w:tcPr>
          <w:p w14:paraId="123D129B">
            <w:pPr>
              <w:widowControl/>
              <w:spacing w:line="240" w:lineRule="auto"/>
              <w:jc w:val="center"/>
              <w:rPr>
                <w:rFonts w:hint="eastAsia" w:ascii="宋体" w:hAnsi="宋体"/>
                <w:kern w:val="0"/>
                <w:sz w:val="18"/>
                <w:szCs w:val="18"/>
              </w:rPr>
            </w:pPr>
            <w:r>
              <w:rPr>
                <w:rFonts w:hint="eastAsia" w:ascii="宋体" w:hAnsi="宋体"/>
                <w:kern w:val="0"/>
                <w:sz w:val="18"/>
                <w:szCs w:val="18"/>
              </w:rPr>
              <w:t>≤ 550</w:t>
            </w:r>
          </w:p>
        </w:tc>
        <w:tc>
          <w:tcPr>
            <w:tcW w:w="1512" w:type="pct"/>
            <w:tcBorders>
              <w:top w:val="single" w:color="auto" w:sz="8" w:space="0"/>
            </w:tcBorders>
            <w:shd w:val="clear" w:color="auto" w:fill="auto"/>
            <w:vAlign w:val="center"/>
          </w:tcPr>
          <w:p w14:paraId="4BFF76F6">
            <w:pPr>
              <w:widowControl/>
              <w:spacing w:line="240" w:lineRule="auto"/>
              <w:jc w:val="center"/>
              <w:rPr>
                <w:rFonts w:hint="eastAsia" w:ascii="宋体" w:hAnsi="宋体"/>
                <w:kern w:val="0"/>
                <w:sz w:val="18"/>
                <w:szCs w:val="18"/>
              </w:rPr>
            </w:pPr>
            <w:r>
              <w:rPr>
                <w:rFonts w:hint="eastAsia" w:ascii="宋体" w:hAnsi="宋体"/>
                <w:kern w:val="0"/>
                <w:sz w:val="18"/>
                <w:szCs w:val="18"/>
              </w:rPr>
              <w:t>≤ 520</w:t>
            </w:r>
          </w:p>
        </w:tc>
      </w:tr>
      <w:tr w14:paraId="2C0E96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27" w:type="pct"/>
            <w:tcBorders>
              <w:top w:val="single" w:color="auto" w:sz="8" w:space="0"/>
            </w:tcBorders>
            <w:shd w:val="clear" w:color="auto" w:fill="auto"/>
            <w:vAlign w:val="center"/>
          </w:tcPr>
          <w:p w14:paraId="2BC971E5">
            <w:pPr>
              <w:pStyle w:val="238"/>
              <w:widowControl w:val="0"/>
              <w:spacing w:beforeLines="0" w:afterLines="0"/>
              <w:rPr>
                <w:rFonts w:hint="eastAsia" w:ascii="宋体" w:hAnsi="宋体" w:eastAsia="宋体"/>
                <w:sz w:val="18"/>
                <w:szCs w:val="18"/>
              </w:rPr>
            </w:pPr>
            <w:r>
              <w:rPr>
                <w:rFonts w:hint="eastAsia" w:ascii="宋体" w:hAnsi="宋体" w:eastAsia="宋体"/>
                <w:sz w:val="18"/>
                <w:szCs w:val="18"/>
              </w:rPr>
              <w:t>涂布白纸板</w:t>
            </w:r>
          </w:p>
        </w:tc>
        <w:tc>
          <w:tcPr>
            <w:tcW w:w="1660" w:type="pct"/>
            <w:tcBorders>
              <w:top w:val="single" w:color="auto" w:sz="8" w:space="0"/>
            </w:tcBorders>
            <w:shd w:val="clear" w:color="auto" w:fill="auto"/>
            <w:vAlign w:val="center"/>
          </w:tcPr>
          <w:p w14:paraId="6A23284B">
            <w:pPr>
              <w:widowControl/>
              <w:spacing w:line="240" w:lineRule="auto"/>
              <w:jc w:val="center"/>
              <w:rPr>
                <w:rFonts w:hint="eastAsia" w:ascii="宋体" w:hAnsi="宋体"/>
                <w:kern w:val="0"/>
                <w:sz w:val="18"/>
                <w:szCs w:val="18"/>
              </w:rPr>
            </w:pPr>
            <w:r>
              <w:rPr>
                <w:rFonts w:hint="eastAsia" w:ascii="宋体" w:hAnsi="宋体"/>
                <w:kern w:val="0"/>
                <w:sz w:val="18"/>
                <w:szCs w:val="18"/>
              </w:rPr>
              <w:t>≤ 500</w:t>
            </w:r>
          </w:p>
        </w:tc>
        <w:tc>
          <w:tcPr>
            <w:tcW w:w="1512" w:type="pct"/>
            <w:tcBorders>
              <w:top w:val="single" w:color="auto" w:sz="8" w:space="0"/>
            </w:tcBorders>
            <w:shd w:val="clear" w:color="auto" w:fill="auto"/>
            <w:vAlign w:val="center"/>
          </w:tcPr>
          <w:p w14:paraId="61CDB7BC">
            <w:pPr>
              <w:widowControl/>
              <w:spacing w:line="240" w:lineRule="auto"/>
              <w:jc w:val="center"/>
              <w:rPr>
                <w:rFonts w:hint="eastAsia" w:ascii="宋体" w:hAnsi="宋体"/>
                <w:kern w:val="0"/>
                <w:sz w:val="18"/>
                <w:szCs w:val="18"/>
              </w:rPr>
            </w:pPr>
            <w:r>
              <w:rPr>
                <w:rFonts w:hint="eastAsia" w:ascii="宋体" w:hAnsi="宋体"/>
                <w:kern w:val="0"/>
                <w:sz w:val="18"/>
                <w:szCs w:val="18"/>
              </w:rPr>
              <w:t>≤ 480</w:t>
            </w:r>
          </w:p>
        </w:tc>
      </w:tr>
      <w:tr w14:paraId="2BEC60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27" w:type="pct"/>
            <w:tcBorders>
              <w:top w:val="single" w:color="auto" w:sz="8" w:space="0"/>
            </w:tcBorders>
            <w:shd w:val="clear" w:color="auto" w:fill="auto"/>
            <w:vAlign w:val="center"/>
          </w:tcPr>
          <w:p w14:paraId="46A1C92D">
            <w:pPr>
              <w:pStyle w:val="238"/>
              <w:widowControl w:val="0"/>
              <w:spacing w:beforeLines="0" w:afterLines="0"/>
              <w:rPr>
                <w:rFonts w:hint="eastAsia" w:ascii="宋体" w:hAnsi="宋体" w:eastAsia="宋体"/>
                <w:sz w:val="18"/>
                <w:szCs w:val="18"/>
              </w:rPr>
            </w:pPr>
            <w:r>
              <w:rPr>
                <w:rFonts w:hint="eastAsia" w:ascii="宋体" w:hAnsi="宋体" w:eastAsia="宋体"/>
                <w:sz w:val="18"/>
                <w:szCs w:val="18"/>
              </w:rPr>
              <w:t>箱纸板</w:t>
            </w:r>
          </w:p>
        </w:tc>
        <w:tc>
          <w:tcPr>
            <w:tcW w:w="1660" w:type="pct"/>
            <w:tcBorders>
              <w:top w:val="single" w:color="auto" w:sz="8" w:space="0"/>
            </w:tcBorders>
            <w:shd w:val="clear" w:color="auto" w:fill="auto"/>
            <w:vAlign w:val="center"/>
          </w:tcPr>
          <w:p w14:paraId="47AF99BD">
            <w:pPr>
              <w:widowControl/>
              <w:spacing w:line="240" w:lineRule="auto"/>
              <w:jc w:val="center"/>
              <w:rPr>
                <w:rFonts w:hint="eastAsia" w:ascii="宋体" w:hAnsi="宋体"/>
                <w:kern w:val="0"/>
                <w:sz w:val="18"/>
                <w:szCs w:val="18"/>
              </w:rPr>
            </w:pPr>
            <w:r>
              <w:rPr>
                <w:rFonts w:hint="eastAsia" w:ascii="宋体" w:hAnsi="宋体"/>
                <w:kern w:val="0"/>
                <w:sz w:val="18"/>
                <w:szCs w:val="18"/>
              </w:rPr>
              <w:t>≤ 480</w:t>
            </w:r>
          </w:p>
        </w:tc>
        <w:tc>
          <w:tcPr>
            <w:tcW w:w="1512" w:type="pct"/>
            <w:tcBorders>
              <w:top w:val="single" w:color="auto" w:sz="8" w:space="0"/>
            </w:tcBorders>
            <w:shd w:val="clear" w:color="auto" w:fill="auto"/>
            <w:vAlign w:val="center"/>
          </w:tcPr>
          <w:p w14:paraId="36A9D20F">
            <w:pPr>
              <w:widowControl/>
              <w:spacing w:line="240" w:lineRule="auto"/>
              <w:jc w:val="center"/>
              <w:rPr>
                <w:rFonts w:hint="eastAsia" w:ascii="宋体" w:hAnsi="宋体"/>
                <w:kern w:val="0"/>
                <w:sz w:val="18"/>
                <w:szCs w:val="18"/>
              </w:rPr>
            </w:pPr>
            <w:r>
              <w:rPr>
                <w:rFonts w:hint="eastAsia" w:ascii="宋体" w:hAnsi="宋体"/>
                <w:kern w:val="0"/>
                <w:sz w:val="18"/>
                <w:szCs w:val="18"/>
              </w:rPr>
              <w:t>≤ 450</w:t>
            </w:r>
          </w:p>
        </w:tc>
      </w:tr>
      <w:tr w14:paraId="27E5DA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27" w:type="pct"/>
            <w:shd w:val="clear" w:color="auto" w:fill="auto"/>
            <w:vAlign w:val="center"/>
          </w:tcPr>
          <w:p w14:paraId="26426436">
            <w:pPr>
              <w:pStyle w:val="238"/>
              <w:widowControl w:val="0"/>
              <w:spacing w:beforeLines="0" w:afterLines="0"/>
              <w:rPr>
                <w:rFonts w:hint="eastAsia" w:ascii="宋体" w:hAnsi="宋体" w:eastAsia="宋体"/>
                <w:spacing w:val="-4"/>
                <w:sz w:val="18"/>
                <w:szCs w:val="18"/>
              </w:rPr>
            </w:pPr>
            <w:r>
              <w:rPr>
                <w:rFonts w:hint="eastAsia" w:ascii="宋体" w:hAnsi="宋体" w:eastAsia="宋体"/>
                <w:spacing w:val="-4"/>
                <w:sz w:val="18"/>
                <w:szCs w:val="18"/>
              </w:rPr>
              <w:t>瓦楞原纸</w:t>
            </w:r>
          </w:p>
        </w:tc>
        <w:tc>
          <w:tcPr>
            <w:tcW w:w="1660" w:type="pct"/>
            <w:shd w:val="clear" w:color="auto" w:fill="auto"/>
            <w:vAlign w:val="center"/>
          </w:tcPr>
          <w:p w14:paraId="5C0B3FE9">
            <w:pPr>
              <w:widowControl/>
              <w:spacing w:line="240" w:lineRule="auto"/>
              <w:jc w:val="center"/>
              <w:rPr>
                <w:rFonts w:hint="eastAsia" w:ascii="宋体" w:hAnsi="宋体"/>
                <w:kern w:val="0"/>
                <w:sz w:val="18"/>
                <w:szCs w:val="18"/>
              </w:rPr>
            </w:pPr>
            <w:r>
              <w:rPr>
                <w:rFonts w:hint="eastAsia" w:ascii="宋体" w:hAnsi="宋体"/>
                <w:kern w:val="0"/>
                <w:sz w:val="18"/>
                <w:szCs w:val="18"/>
              </w:rPr>
              <w:t>≤ 450</w:t>
            </w:r>
          </w:p>
        </w:tc>
        <w:tc>
          <w:tcPr>
            <w:tcW w:w="1512" w:type="pct"/>
            <w:shd w:val="clear" w:color="auto" w:fill="auto"/>
            <w:vAlign w:val="center"/>
          </w:tcPr>
          <w:p w14:paraId="369FB4BF">
            <w:pPr>
              <w:widowControl/>
              <w:spacing w:line="240" w:lineRule="auto"/>
              <w:jc w:val="center"/>
              <w:rPr>
                <w:rFonts w:hint="eastAsia" w:ascii="宋体" w:hAnsi="宋体"/>
                <w:kern w:val="0"/>
                <w:sz w:val="18"/>
                <w:szCs w:val="18"/>
              </w:rPr>
            </w:pPr>
            <w:r>
              <w:rPr>
                <w:rFonts w:hint="eastAsia" w:ascii="宋体" w:hAnsi="宋体"/>
                <w:kern w:val="0"/>
                <w:sz w:val="18"/>
                <w:szCs w:val="18"/>
              </w:rPr>
              <w:t>≤ 420</w:t>
            </w:r>
          </w:p>
        </w:tc>
      </w:tr>
      <w:tr w14:paraId="0F2555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27" w:type="pct"/>
            <w:shd w:val="clear" w:color="auto" w:fill="auto"/>
            <w:vAlign w:val="center"/>
          </w:tcPr>
          <w:p w14:paraId="3808CFE2">
            <w:pPr>
              <w:pStyle w:val="238"/>
              <w:widowControl w:val="0"/>
              <w:spacing w:beforeLines="0" w:afterLines="0"/>
              <w:rPr>
                <w:rFonts w:hint="eastAsia" w:ascii="宋体" w:hAnsi="宋体" w:eastAsia="宋体"/>
                <w:sz w:val="18"/>
                <w:szCs w:val="18"/>
              </w:rPr>
            </w:pPr>
            <w:r>
              <w:rPr>
                <w:rFonts w:hint="eastAsia" w:ascii="宋体" w:hAnsi="宋体" w:eastAsia="宋体"/>
                <w:spacing w:val="-4"/>
                <w:sz w:val="18"/>
                <w:szCs w:val="18"/>
              </w:rPr>
              <w:t>纸管原纸</w:t>
            </w:r>
          </w:p>
        </w:tc>
        <w:tc>
          <w:tcPr>
            <w:tcW w:w="1660" w:type="pct"/>
            <w:shd w:val="clear" w:color="auto" w:fill="auto"/>
            <w:vAlign w:val="center"/>
          </w:tcPr>
          <w:p w14:paraId="451BD4E9">
            <w:pPr>
              <w:widowControl/>
              <w:spacing w:line="240" w:lineRule="auto"/>
              <w:jc w:val="center"/>
              <w:rPr>
                <w:rFonts w:hint="eastAsia" w:ascii="宋体" w:hAnsi="宋体"/>
                <w:kern w:val="0"/>
                <w:sz w:val="18"/>
                <w:szCs w:val="18"/>
              </w:rPr>
            </w:pPr>
            <w:r>
              <w:rPr>
                <w:rFonts w:hint="eastAsia" w:ascii="宋体" w:hAnsi="宋体"/>
                <w:kern w:val="0"/>
                <w:sz w:val="18"/>
                <w:szCs w:val="18"/>
              </w:rPr>
              <w:t>≤ 450</w:t>
            </w:r>
          </w:p>
        </w:tc>
        <w:tc>
          <w:tcPr>
            <w:tcW w:w="1512" w:type="pct"/>
            <w:shd w:val="clear" w:color="auto" w:fill="auto"/>
            <w:vAlign w:val="center"/>
          </w:tcPr>
          <w:p w14:paraId="57C3D73E">
            <w:pPr>
              <w:widowControl/>
              <w:spacing w:line="240" w:lineRule="auto"/>
              <w:jc w:val="center"/>
              <w:rPr>
                <w:rFonts w:hint="eastAsia" w:ascii="宋体" w:hAnsi="宋体"/>
                <w:kern w:val="0"/>
                <w:sz w:val="18"/>
                <w:szCs w:val="18"/>
              </w:rPr>
            </w:pPr>
            <w:r>
              <w:rPr>
                <w:rFonts w:hint="eastAsia" w:ascii="宋体" w:hAnsi="宋体"/>
                <w:kern w:val="0"/>
                <w:sz w:val="18"/>
                <w:szCs w:val="18"/>
              </w:rPr>
              <w:t>≤ 400</w:t>
            </w:r>
          </w:p>
        </w:tc>
      </w:tr>
      <w:tr w14:paraId="141A9B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000" w:type="pct"/>
            <w:gridSpan w:val="3"/>
            <w:shd w:val="clear" w:color="auto" w:fill="auto"/>
            <w:vAlign w:val="center"/>
          </w:tcPr>
          <w:p w14:paraId="2643FEB2">
            <w:pPr>
              <w:pStyle w:val="183"/>
              <w:numPr>
                <w:ilvl w:val="0"/>
                <w:numId w:val="37"/>
              </w:numPr>
            </w:pPr>
            <w:r>
              <w:rPr>
                <w:rFonts w:hint="eastAsia"/>
              </w:rPr>
              <w:t>有自备热电站或自备工业锅炉时，按实际煤耗折标准煤计算，外供电力、蒸汽时，按实际煤耗折标准煤计算进行扣减。外购电力、蒸汽时，按等价值折标准煤系数计算，电力折标准煤系数采用0.33</w:t>
            </w:r>
            <w:r>
              <w:t xml:space="preserve"> </w:t>
            </w:r>
            <w:r>
              <w:rPr>
                <w:rFonts w:hint="eastAsia"/>
              </w:rPr>
              <w:t>kgce/kW</w:t>
            </w:r>
            <w:r>
              <w:t>·</w:t>
            </w:r>
            <w:r>
              <w:rPr>
                <w:rFonts w:hint="eastAsia"/>
              </w:rPr>
              <w:t>h；</w:t>
            </w:r>
          </w:p>
          <w:p w14:paraId="198EBDF8">
            <w:pPr>
              <w:pStyle w:val="183"/>
            </w:pPr>
            <w:r>
              <w:rPr>
                <w:rFonts w:hint="eastAsia"/>
              </w:rPr>
              <w:t>新水折标准煤系数采用0.0857</w:t>
            </w:r>
            <w:r>
              <w:t xml:space="preserve"> </w:t>
            </w:r>
            <w:r>
              <w:rPr>
                <w:rFonts w:hint="eastAsia"/>
              </w:rPr>
              <w:t>kgce/t。</w:t>
            </w:r>
          </w:p>
        </w:tc>
      </w:tr>
    </w:tbl>
    <w:p w14:paraId="5BD11C5E">
      <w:pPr>
        <w:pStyle w:val="108"/>
        <w:spacing w:before="156" w:after="156"/>
      </w:pPr>
      <w:bookmarkStart w:id="414" w:name="_Toc496881043"/>
      <w:bookmarkStart w:id="415" w:name="_Toc4761"/>
      <w:bookmarkStart w:id="416" w:name="_Toc7622"/>
      <w:bookmarkStart w:id="417" w:name="_Toc492372621"/>
      <w:bookmarkStart w:id="418" w:name="_Toc175690951"/>
      <w:bookmarkStart w:id="419" w:name="_Toc502760510"/>
      <w:bookmarkStart w:id="420" w:name="_Toc27425"/>
      <w:bookmarkStart w:id="421" w:name="_Toc496771306"/>
      <w:bookmarkStart w:id="422" w:name="_Toc175504965"/>
      <w:bookmarkStart w:id="423" w:name="_Toc492372475"/>
      <w:r>
        <w:rPr>
          <w:rFonts w:hint="eastAsia"/>
        </w:rPr>
        <w:t>特种纸和纸板</w:t>
      </w:r>
      <w:bookmarkEnd w:id="414"/>
      <w:bookmarkEnd w:id="415"/>
      <w:bookmarkEnd w:id="416"/>
      <w:bookmarkEnd w:id="417"/>
      <w:bookmarkEnd w:id="418"/>
      <w:bookmarkEnd w:id="419"/>
      <w:bookmarkEnd w:id="420"/>
      <w:bookmarkEnd w:id="421"/>
      <w:bookmarkEnd w:id="422"/>
      <w:bookmarkEnd w:id="423"/>
    </w:p>
    <w:p w14:paraId="003A3ACA">
      <w:pPr>
        <w:pStyle w:val="68"/>
        <w:spacing w:before="156" w:after="156"/>
      </w:pPr>
      <w:r>
        <w:rPr>
          <w:rFonts w:hint="eastAsia"/>
        </w:rPr>
        <w:t>适用对象</w:t>
      </w:r>
    </w:p>
    <w:p w14:paraId="54EDF56E">
      <w:pPr>
        <w:pStyle w:val="59"/>
        <w:ind w:firstLine="420"/>
      </w:pPr>
      <w:r>
        <w:rPr>
          <w:rFonts w:hint="eastAsia"/>
        </w:rPr>
        <w:t>适用于特种纸和纸板（不含制浆）生产企业进行单位产品综合能耗的计算、考核与评价。</w:t>
      </w:r>
    </w:p>
    <w:p w14:paraId="47ED5095">
      <w:pPr>
        <w:pStyle w:val="68"/>
        <w:spacing w:before="156" w:after="156"/>
      </w:pPr>
      <w:r>
        <w:rPr>
          <w:rFonts w:hint="eastAsia"/>
        </w:rPr>
        <w:t>特种纸和纸板单位产品综合能耗限定值和准入值</w:t>
      </w:r>
    </w:p>
    <w:p w14:paraId="76394143">
      <w:pPr>
        <w:pStyle w:val="59"/>
        <w:ind w:firstLine="420"/>
        <w:rPr>
          <w:rFonts w:hint="eastAsia" w:hAnsi="宋体"/>
        </w:rPr>
      </w:pPr>
      <w:r>
        <w:rPr>
          <w:rFonts w:hint="eastAsia"/>
        </w:rPr>
        <w:t>现有企业特种纸和纸板单位产品综合能耗限定值，新建企业、现有企业改扩建项目特种纸和纸板单位产品综合能耗准入值应符合表14的规定。</w:t>
      </w:r>
    </w:p>
    <w:p w14:paraId="0D899F14">
      <w:pPr>
        <w:pStyle w:val="115"/>
        <w:spacing w:before="156" w:after="156"/>
      </w:pPr>
      <w:r>
        <w:rPr>
          <w:rFonts w:hint="eastAsia"/>
        </w:rPr>
        <w:t>特种纸和纸板单位产品综合能耗限定值</w:t>
      </w:r>
    </w:p>
    <w:tbl>
      <w:tblPr>
        <w:tblStyle w:val="28"/>
        <w:tblW w:w="4999" w:type="pct"/>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0" w:type="dxa"/>
          <w:bottom w:w="0" w:type="dxa"/>
          <w:right w:w="0" w:type="dxa"/>
        </w:tblCellMar>
      </w:tblPr>
      <w:tblGrid>
        <w:gridCol w:w="2798"/>
        <w:gridCol w:w="3284"/>
        <w:gridCol w:w="3290"/>
      </w:tblGrid>
      <w:tr w14:paraId="68D8A99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1493" w:type="pct"/>
            <w:tcBorders>
              <w:top w:val="single" w:color="000000" w:sz="8" w:space="0"/>
              <w:bottom w:val="single" w:color="000000" w:sz="8" w:space="0"/>
            </w:tcBorders>
            <w:shd w:val="clear" w:color="auto" w:fill="auto"/>
            <w:vAlign w:val="center"/>
          </w:tcPr>
          <w:p w14:paraId="73A87FEE">
            <w:pPr>
              <w:spacing w:line="240" w:lineRule="auto"/>
              <w:jc w:val="center"/>
              <w:rPr>
                <w:rFonts w:hint="eastAsia" w:ascii="宋体" w:hAnsi="宋体"/>
                <w:sz w:val="18"/>
                <w:szCs w:val="18"/>
              </w:rPr>
            </w:pPr>
            <w:r>
              <w:rPr>
                <w:rFonts w:hint="eastAsia" w:ascii="宋体" w:hAnsi="宋体"/>
                <w:sz w:val="18"/>
                <w:szCs w:val="18"/>
              </w:rPr>
              <w:t>产品名称</w:t>
            </w:r>
          </w:p>
        </w:tc>
        <w:tc>
          <w:tcPr>
            <w:tcW w:w="1752" w:type="pct"/>
            <w:tcBorders>
              <w:top w:val="single" w:color="000000" w:sz="8" w:space="0"/>
              <w:bottom w:val="single" w:color="000000" w:sz="8" w:space="0"/>
            </w:tcBorders>
            <w:shd w:val="clear" w:color="auto" w:fill="auto"/>
            <w:vAlign w:val="center"/>
          </w:tcPr>
          <w:p w14:paraId="2240BA1C">
            <w:pPr>
              <w:spacing w:line="240" w:lineRule="auto"/>
              <w:jc w:val="center"/>
              <w:rPr>
                <w:rFonts w:hint="eastAsia" w:ascii="宋体" w:hAnsi="宋体"/>
                <w:sz w:val="18"/>
                <w:szCs w:val="18"/>
              </w:rPr>
            </w:pPr>
            <w:r>
              <w:rPr>
                <w:rFonts w:hint="eastAsia" w:ascii="宋体" w:hAnsi="宋体"/>
                <w:sz w:val="18"/>
                <w:szCs w:val="18"/>
              </w:rPr>
              <w:t>单位产品综合能耗限定值</w:t>
            </w:r>
          </w:p>
          <w:p w14:paraId="28308656">
            <w:pPr>
              <w:spacing w:line="240" w:lineRule="auto"/>
              <w:jc w:val="center"/>
              <w:rPr>
                <w:rFonts w:hint="eastAsia" w:ascii="宋体" w:hAnsi="宋体"/>
                <w:sz w:val="18"/>
                <w:szCs w:val="18"/>
              </w:rPr>
            </w:pPr>
            <w:r>
              <w:rPr>
                <w:rFonts w:hint="eastAsia" w:ascii="宋体" w:hAnsi="宋体"/>
                <w:sz w:val="18"/>
                <w:szCs w:val="18"/>
              </w:rPr>
              <w:t>等价值kgce/t</w:t>
            </w:r>
          </w:p>
        </w:tc>
        <w:tc>
          <w:tcPr>
            <w:tcW w:w="1753" w:type="pct"/>
            <w:tcBorders>
              <w:top w:val="single" w:color="000000" w:sz="8" w:space="0"/>
              <w:bottom w:val="single" w:color="000000" w:sz="8" w:space="0"/>
            </w:tcBorders>
            <w:shd w:val="clear" w:color="auto" w:fill="auto"/>
            <w:vAlign w:val="center"/>
          </w:tcPr>
          <w:p w14:paraId="689E53A0">
            <w:pPr>
              <w:spacing w:line="240" w:lineRule="auto"/>
              <w:jc w:val="center"/>
              <w:rPr>
                <w:rFonts w:hint="eastAsia" w:ascii="宋体" w:hAnsi="宋体"/>
                <w:sz w:val="18"/>
                <w:szCs w:val="18"/>
              </w:rPr>
            </w:pPr>
            <w:r>
              <w:rPr>
                <w:rFonts w:hint="eastAsia" w:ascii="宋体" w:hAnsi="宋体"/>
                <w:sz w:val="18"/>
                <w:szCs w:val="18"/>
              </w:rPr>
              <w:t>单位产品综合能耗准入值</w:t>
            </w:r>
          </w:p>
          <w:p w14:paraId="1CFB1EC8">
            <w:pPr>
              <w:spacing w:line="240" w:lineRule="auto"/>
              <w:jc w:val="center"/>
              <w:rPr>
                <w:rFonts w:hint="eastAsia" w:ascii="宋体" w:hAnsi="宋体"/>
                <w:sz w:val="18"/>
                <w:szCs w:val="18"/>
              </w:rPr>
            </w:pPr>
            <w:r>
              <w:rPr>
                <w:rFonts w:hint="eastAsia" w:ascii="宋体" w:hAnsi="宋体"/>
                <w:sz w:val="18"/>
                <w:szCs w:val="18"/>
              </w:rPr>
              <w:t>等价值kgce/t</w:t>
            </w:r>
          </w:p>
        </w:tc>
      </w:tr>
      <w:tr w14:paraId="7BD69CF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1493" w:type="pct"/>
            <w:tcBorders>
              <w:top w:val="single" w:color="000000" w:sz="8" w:space="0"/>
            </w:tcBorders>
            <w:shd w:val="clear" w:color="auto" w:fill="auto"/>
            <w:vAlign w:val="center"/>
          </w:tcPr>
          <w:p w14:paraId="5AEEAB8B">
            <w:pPr>
              <w:spacing w:line="240" w:lineRule="auto"/>
              <w:jc w:val="center"/>
              <w:rPr>
                <w:rFonts w:hint="eastAsia" w:ascii="宋体" w:hAnsi="宋体"/>
                <w:sz w:val="18"/>
                <w:szCs w:val="18"/>
              </w:rPr>
            </w:pPr>
            <w:r>
              <w:rPr>
                <w:rFonts w:hint="eastAsia" w:ascii="宋体" w:hAnsi="宋体"/>
                <w:sz w:val="18"/>
                <w:szCs w:val="18"/>
              </w:rPr>
              <w:t>热敏纸</w:t>
            </w:r>
          </w:p>
        </w:tc>
        <w:tc>
          <w:tcPr>
            <w:tcW w:w="1752" w:type="pct"/>
            <w:tcBorders>
              <w:top w:val="single" w:color="000000" w:sz="8" w:space="0"/>
            </w:tcBorders>
            <w:shd w:val="clear" w:color="auto" w:fill="auto"/>
            <w:vAlign w:val="center"/>
          </w:tcPr>
          <w:p w14:paraId="1137DB5A">
            <w:pPr>
              <w:spacing w:line="240" w:lineRule="auto"/>
              <w:jc w:val="center"/>
              <w:rPr>
                <w:rFonts w:hint="eastAsia" w:ascii="宋体" w:hAnsi="宋体"/>
                <w:sz w:val="18"/>
                <w:szCs w:val="18"/>
              </w:rPr>
            </w:pPr>
            <w:r>
              <w:rPr>
                <w:rFonts w:hint="eastAsia" w:ascii="宋体" w:hAnsi="宋体"/>
                <w:sz w:val="18"/>
                <w:szCs w:val="18"/>
              </w:rPr>
              <w:t>≤ 1200</w:t>
            </w:r>
          </w:p>
        </w:tc>
        <w:tc>
          <w:tcPr>
            <w:tcW w:w="1753" w:type="pct"/>
            <w:tcBorders>
              <w:top w:val="single" w:color="000000" w:sz="8" w:space="0"/>
            </w:tcBorders>
            <w:shd w:val="clear" w:color="auto" w:fill="auto"/>
            <w:vAlign w:val="center"/>
          </w:tcPr>
          <w:p w14:paraId="26E6B5BB">
            <w:pPr>
              <w:spacing w:line="240" w:lineRule="auto"/>
              <w:jc w:val="center"/>
              <w:rPr>
                <w:rFonts w:hint="eastAsia" w:ascii="宋体" w:hAnsi="宋体"/>
                <w:sz w:val="18"/>
                <w:szCs w:val="18"/>
              </w:rPr>
            </w:pPr>
            <w:r>
              <w:rPr>
                <w:rFonts w:hint="eastAsia" w:ascii="宋体" w:hAnsi="宋体"/>
                <w:sz w:val="18"/>
                <w:szCs w:val="18"/>
              </w:rPr>
              <w:t>≤ 1080</w:t>
            </w:r>
          </w:p>
        </w:tc>
      </w:tr>
      <w:tr w14:paraId="3D3B9C4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1493" w:type="pct"/>
            <w:tcBorders>
              <w:top w:val="single" w:color="000000" w:sz="8" w:space="0"/>
            </w:tcBorders>
            <w:shd w:val="clear" w:color="auto" w:fill="auto"/>
            <w:vAlign w:val="center"/>
          </w:tcPr>
          <w:p w14:paraId="73500432">
            <w:pPr>
              <w:spacing w:line="240" w:lineRule="auto"/>
              <w:jc w:val="center"/>
              <w:rPr>
                <w:rFonts w:hint="eastAsia" w:ascii="宋体" w:hAnsi="宋体"/>
                <w:sz w:val="18"/>
                <w:szCs w:val="18"/>
              </w:rPr>
            </w:pPr>
            <w:r>
              <w:rPr>
                <w:rFonts w:hint="eastAsia" w:ascii="宋体" w:hAnsi="宋体"/>
                <w:sz w:val="18"/>
                <w:szCs w:val="18"/>
              </w:rPr>
              <w:t>干式复写原纸</w:t>
            </w:r>
          </w:p>
        </w:tc>
        <w:tc>
          <w:tcPr>
            <w:tcW w:w="1752" w:type="pct"/>
            <w:tcBorders>
              <w:top w:val="single" w:color="000000" w:sz="8" w:space="0"/>
            </w:tcBorders>
            <w:shd w:val="clear" w:color="auto" w:fill="auto"/>
            <w:vAlign w:val="center"/>
          </w:tcPr>
          <w:p w14:paraId="5FBDDDFC">
            <w:pPr>
              <w:spacing w:line="240" w:lineRule="auto"/>
              <w:jc w:val="center"/>
              <w:rPr>
                <w:rFonts w:hint="eastAsia" w:ascii="宋体" w:hAnsi="宋体"/>
                <w:sz w:val="18"/>
                <w:szCs w:val="18"/>
              </w:rPr>
            </w:pPr>
            <w:r>
              <w:rPr>
                <w:rFonts w:hint="eastAsia" w:ascii="宋体" w:hAnsi="宋体"/>
                <w:sz w:val="18"/>
                <w:szCs w:val="18"/>
              </w:rPr>
              <w:t>≤ 1150</w:t>
            </w:r>
          </w:p>
        </w:tc>
        <w:tc>
          <w:tcPr>
            <w:tcW w:w="1753" w:type="pct"/>
            <w:tcBorders>
              <w:top w:val="single" w:color="000000" w:sz="8" w:space="0"/>
            </w:tcBorders>
            <w:shd w:val="clear" w:color="auto" w:fill="auto"/>
            <w:vAlign w:val="center"/>
          </w:tcPr>
          <w:p w14:paraId="11F9F513">
            <w:pPr>
              <w:spacing w:line="240" w:lineRule="auto"/>
              <w:jc w:val="center"/>
              <w:rPr>
                <w:rFonts w:hint="eastAsia" w:ascii="宋体" w:hAnsi="宋体"/>
                <w:sz w:val="18"/>
                <w:szCs w:val="18"/>
              </w:rPr>
            </w:pPr>
            <w:r>
              <w:rPr>
                <w:rFonts w:hint="eastAsia" w:ascii="宋体" w:hAnsi="宋体"/>
                <w:sz w:val="18"/>
                <w:szCs w:val="18"/>
              </w:rPr>
              <w:t>≤ 1050</w:t>
            </w:r>
          </w:p>
        </w:tc>
      </w:tr>
      <w:tr w14:paraId="2F7C2C6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1493" w:type="pct"/>
            <w:tcBorders>
              <w:top w:val="single" w:color="000000" w:sz="8" w:space="0"/>
            </w:tcBorders>
            <w:shd w:val="clear" w:color="auto" w:fill="auto"/>
            <w:vAlign w:val="center"/>
          </w:tcPr>
          <w:p w14:paraId="32E79A2D">
            <w:pPr>
              <w:spacing w:line="240" w:lineRule="auto"/>
              <w:jc w:val="center"/>
              <w:rPr>
                <w:rFonts w:hint="eastAsia" w:ascii="宋体" w:hAnsi="宋体"/>
                <w:sz w:val="18"/>
                <w:szCs w:val="18"/>
              </w:rPr>
            </w:pPr>
            <w:r>
              <w:rPr>
                <w:rFonts w:hint="eastAsia" w:ascii="宋体" w:hAnsi="宋体"/>
                <w:sz w:val="18"/>
                <w:szCs w:val="18"/>
              </w:rPr>
              <w:t>薄型纸</w:t>
            </w:r>
          </w:p>
        </w:tc>
        <w:tc>
          <w:tcPr>
            <w:tcW w:w="1752" w:type="pct"/>
            <w:tcBorders>
              <w:top w:val="single" w:color="000000" w:sz="8" w:space="0"/>
            </w:tcBorders>
            <w:shd w:val="clear" w:color="auto" w:fill="auto"/>
            <w:vAlign w:val="center"/>
          </w:tcPr>
          <w:p w14:paraId="7A127B46">
            <w:pPr>
              <w:spacing w:line="240" w:lineRule="auto"/>
              <w:jc w:val="center"/>
              <w:rPr>
                <w:rFonts w:hint="eastAsia" w:ascii="宋体" w:hAnsi="宋体"/>
                <w:sz w:val="18"/>
                <w:szCs w:val="18"/>
              </w:rPr>
            </w:pPr>
            <w:r>
              <w:rPr>
                <w:rFonts w:hint="eastAsia" w:ascii="宋体" w:hAnsi="宋体"/>
                <w:sz w:val="18"/>
                <w:szCs w:val="18"/>
              </w:rPr>
              <w:t>≤ 1150</w:t>
            </w:r>
          </w:p>
        </w:tc>
        <w:tc>
          <w:tcPr>
            <w:tcW w:w="1753" w:type="pct"/>
            <w:tcBorders>
              <w:top w:val="single" w:color="000000" w:sz="8" w:space="0"/>
            </w:tcBorders>
            <w:shd w:val="clear" w:color="auto" w:fill="auto"/>
            <w:vAlign w:val="center"/>
          </w:tcPr>
          <w:p w14:paraId="32101ED9">
            <w:pPr>
              <w:spacing w:line="240" w:lineRule="auto"/>
              <w:jc w:val="center"/>
              <w:rPr>
                <w:rFonts w:hint="eastAsia" w:ascii="宋体" w:hAnsi="宋体"/>
                <w:sz w:val="18"/>
                <w:szCs w:val="18"/>
              </w:rPr>
            </w:pPr>
            <w:r>
              <w:rPr>
                <w:rFonts w:hint="eastAsia" w:ascii="宋体" w:hAnsi="宋体"/>
                <w:sz w:val="18"/>
                <w:szCs w:val="18"/>
              </w:rPr>
              <w:t>≤ 1050</w:t>
            </w:r>
          </w:p>
        </w:tc>
      </w:tr>
      <w:tr w14:paraId="0C58FF9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1493" w:type="pct"/>
            <w:tcBorders>
              <w:top w:val="single" w:color="000000" w:sz="8" w:space="0"/>
            </w:tcBorders>
            <w:shd w:val="clear" w:color="auto" w:fill="auto"/>
            <w:vAlign w:val="center"/>
          </w:tcPr>
          <w:p w14:paraId="49BFF60F">
            <w:pPr>
              <w:spacing w:line="240" w:lineRule="auto"/>
              <w:jc w:val="center"/>
              <w:rPr>
                <w:rFonts w:hint="eastAsia" w:ascii="宋体" w:hAnsi="宋体"/>
                <w:sz w:val="18"/>
                <w:szCs w:val="18"/>
              </w:rPr>
            </w:pPr>
            <w:r>
              <w:rPr>
                <w:rFonts w:hint="eastAsia" w:ascii="宋体" w:hAnsi="宋体"/>
                <w:sz w:val="18"/>
                <w:szCs w:val="18"/>
              </w:rPr>
              <w:t>防伪税票纸</w:t>
            </w:r>
          </w:p>
        </w:tc>
        <w:tc>
          <w:tcPr>
            <w:tcW w:w="1752" w:type="pct"/>
            <w:tcBorders>
              <w:top w:val="single" w:color="000000" w:sz="8" w:space="0"/>
            </w:tcBorders>
            <w:shd w:val="clear" w:color="auto" w:fill="auto"/>
            <w:vAlign w:val="center"/>
          </w:tcPr>
          <w:p w14:paraId="644F6F58">
            <w:pPr>
              <w:spacing w:line="240" w:lineRule="auto"/>
              <w:jc w:val="center"/>
              <w:rPr>
                <w:rFonts w:hint="eastAsia" w:ascii="宋体" w:hAnsi="宋体"/>
                <w:sz w:val="18"/>
                <w:szCs w:val="18"/>
              </w:rPr>
            </w:pPr>
            <w:r>
              <w:rPr>
                <w:rFonts w:hint="eastAsia" w:ascii="宋体" w:hAnsi="宋体"/>
                <w:sz w:val="18"/>
                <w:szCs w:val="18"/>
              </w:rPr>
              <w:t>≤ 1050</w:t>
            </w:r>
          </w:p>
        </w:tc>
        <w:tc>
          <w:tcPr>
            <w:tcW w:w="1753" w:type="pct"/>
            <w:tcBorders>
              <w:top w:val="single" w:color="000000" w:sz="8" w:space="0"/>
            </w:tcBorders>
            <w:shd w:val="clear" w:color="auto" w:fill="auto"/>
            <w:vAlign w:val="center"/>
          </w:tcPr>
          <w:p w14:paraId="566F7143">
            <w:pPr>
              <w:spacing w:line="240" w:lineRule="auto"/>
              <w:jc w:val="center"/>
              <w:rPr>
                <w:rFonts w:hint="eastAsia" w:ascii="宋体" w:hAnsi="宋体"/>
                <w:sz w:val="18"/>
                <w:szCs w:val="18"/>
              </w:rPr>
            </w:pPr>
            <w:r>
              <w:rPr>
                <w:rFonts w:hint="eastAsia" w:ascii="宋体" w:hAnsi="宋体"/>
                <w:sz w:val="18"/>
                <w:szCs w:val="18"/>
              </w:rPr>
              <w:t>≤ 950</w:t>
            </w:r>
          </w:p>
        </w:tc>
      </w:tr>
      <w:tr w14:paraId="035C3E1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1493" w:type="pct"/>
            <w:shd w:val="clear" w:color="auto" w:fill="auto"/>
            <w:vAlign w:val="center"/>
          </w:tcPr>
          <w:p w14:paraId="4D512A8D">
            <w:pPr>
              <w:spacing w:line="240" w:lineRule="auto"/>
              <w:jc w:val="center"/>
              <w:rPr>
                <w:rFonts w:hint="eastAsia" w:ascii="宋体" w:hAnsi="宋体"/>
                <w:sz w:val="18"/>
                <w:szCs w:val="18"/>
              </w:rPr>
            </w:pPr>
            <w:r>
              <w:rPr>
                <w:rFonts w:hint="eastAsia" w:ascii="宋体" w:hAnsi="宋体"/>
                <w:sz w:val="18"/>
                <w:szCs w:val="18"/>
              </w:rPr>
              <w:t>无碳复写纸</w:t>
            </w:r>
          </w:p>
        </w:tc>
        <w:tc>
          <w:tcPr>
            <w:tcW w:w="1752" w:type="pct"/>
            <w:shd w:val="clear" w:color="auto" w:fill="auto"/>
            <w:vAlign w:val="center"/>
          </w:tcPr>
          <w:p w14:paraId="3DDA4B00">
            <w:pPr>
              <w:spacing w:line="240" w:lineRule="auto"/>
              <w:jc w:val="center"/>
              <w:rPr>
                <w:rFonts w:hint="eastAsia" w:ascii="宋体" w:hAnsi="宋体"/>
                <w:sz w:val="18"/>
                <w:szCs w:val="18"/>
              </w:rPr>
            </w:pPr>
            <w:r>
              <w:rPr>
                <w:rFonts w:hint="eastAsia" w:ascii="宋体" w:hAnsi="宋体"/>
                <w:sz w:val="18"/>
                <w:szCs w:val="18"/>
              </w:rPr>
              <w:t>≤ 920</w:t>
            </w:r>
          </w:p>
        </w:tc>
        <w:tc>
          <w:tcPr>
            <w:tcW w:w="1753" w:type="pct"/>
            <w:shd w:val="clear" w:color="auto" w:fill="auto"/>
            <w:vAlign w:val="center"/>
          </w:tcPr>
          <w:p w14:paraId="7A7C086D">
            <w:pPr>
              <w:spacing w:line="240" w:lineRule="auto"/>
              <w:jc w:val="center"/>
              <w:rPr>
                <w:rFonts w:hint="eastAsia" w:ascii="宋体" w:hAnsi="宋体"/>
                <w:sz w:val="18"/>
                <w:szCs w:val="18"/>
              </w:rPr>
            </w:pPr>
            <w:r>
              <w:rPr>
                <w:rFonts w:hint="eastAsia" w:ascii="宋体" w:hAnsi="宋体"/>
                <w:sz w:val="18"/>
                <w:szCs w:val="18"/>
              </w:rPr>
              <w:t>≤ 850</w:t>
            </w:r>
          </w:p>
        </w:tc>
      </w:tr>
      <w:tr w14:paraId="716FEBB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1493" w:type="pct"/>
            <w:shd w:val="clear" w:color="auto" w:fill="auto"/>
            <w:vAlign w:val="center"/>
          </w:tcPr>
          <w:p w14:paraId="04C732B5">
            <w:pPr>
              <w:spacing w:line="240" w:lineRule="auto"/>
              <w:jc w:val="center"/>
              <w:rPr>
                <w:rFonts w:hint="eastAsia" w:ascii="宋体" w:hAnsi="宋体"/>
                <w:sz w:val="18"/>
                <w:szCs w:val="18"/>
              </w:rPr>
            </w:pPr>
            <w:r>
              <w:rPr>
                <w:rFonts w:hint="eastAsia" w:ascii="宋体" w:hAnsi="宋体"/>
                <w:sz w:val="18"/>
                <w:szCs w:val="18"/>
              </w:rPr>
              <w:t>艺术原纸</w:t>
            </w:r>
          </w:p>
        </w:tc>
        <w:tc>
          <w:tcPr>
            <w:tcW w:w="1752" w:type="pct"/>
            <w:shd w:val="clear" w:color="auto" w:fill="auto"/>
            <w:vAlign w:val="center"/>
          </w:tcPr>
          <w:p w14:paraId="68F0F343">
            <w:pPr>
              <w:spacing w:line="240" w:lineRule="auto"/>
              <w:jc w:val="center"/>
              <w:rPr>
                <w:rFonts w:hint="eastAsia" w:ascii="宋体" w:hAnsi="宋体"/>
                <w:sz w:val="18"/>
                <w:szCs w:val="18"/>
              </w:rPr>
            </w:pPr>
            <w:r>
              <w:rPr>
                <w:rFonts w:hint="eastAsia" w:ascii="宋体" w:hAnsi="宋体"/>
                <w:sz w:val="18"/>
                <w:szCs w:val="18"/>
              </w:rPr>
              <w:t>≤ 800</w:t>
            </w:r>
          </w:p>
        </w:tc>
        <w:tc>
          <w:tcPr>
            <w:tcW w:w="1753" w:type="pct"/>
            <w:shd w:val="clear" w:color="auto" w:fill="auto"/>
            <w:vAlign w:val="center"/>
          </w:tcPr>
          <w:p w14:paraId="7EB1434D">
            <w:pPr>
              <w:spacing w:line="240" w:lineRule="auto"/>
              <w:jc w:val="center"/>
              <w:rPr>
                <w:rFonts w:hint="eastAsia" w:ascii="宋体" w:hAnsi="宋体"/>
                <w:sz w:val="18"/>
                <w:szCs w:val="18"/>
              </w:rPr>
            </w:pPr>
            <w:r>
              <w:rPr>
                <w:rFonts w:hint="eastAsia" w:ascii="宋体" w:hAnsi="宋体"/>
                <w:sz w:val="18"/>
                <w:szCs w:val="18"/>
              </w:rPr>
              <w:t>≤ 720</w:t>
            </w:r>
          </w:p>
        </w:tc>
      </w:tr>
      <w:tr w14:paraId="4944283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1493" w:type="pct"/>
            <w:shd w:val="clear" w:color="auto" w:fill="auto"/>
            <w:vAlign w:val="center"/>
          </w:tcPr>
          <w:p w14:paraId="6DB39AC8">
            <w:pPr>
              <w:spacing w:line="240" w:lineRule="auto"/>
              <w:jc w:val="center"/>
              <w:rPr>
                <w:rFonts w:hint="eastAsia" w:ascii="宋体" w:hAnsi="宋体"/>
                <w:sz w:val="18"/>
                <w:szCs w:val="18"/>
              </w:rPr>
            </w:pPr>
            <w:r>
              <w:rPr>
                <w:rFonts w:hint="eastAsia" w:ascii="宋体" w:hAnsi="宋体"/>
                <w:sz w:val="18"/>
                <w:szCs w:val="18"/>
              </w:rPr>
              <w:t>鞋用纸板</w:t>
            </w:r>
          </w:p>
        </w:tc>
        <w:tc>
          <w:tcPr>
            <w:tcW w:w="1752" w:type="pct"/>
            <w:shd w:val="clear" w:color="auto" w:fill="auto"/>
            <w:vAlign w:val="center"/>
          </w:tcPr>
          <w:p w14:paraId="1E45E4DE">
            <w:pPr>
              <w:spacing w:line="240" w:lineRule="auto"/>
              <w:jc w:val="center"/>
              <w:rPr>
                <w:rFonts w:hint="eastAsia" w:ascii="宋体" w:hAnsi="宋体"/>
                <w:sz w:val="18"/>
                <w:szCs w:val="18"/>
              </w:rPr>
            </w:pPr>
            <w:r>
              <w:rPr>
                <w:rFonts w:hint="eastAsia" w:ascii="宋体" w:hAnsi="宋体"/>
                <w:sz w:val="18"/>
                <w:szCs w:val="18"/>
              </w:rPr>
              <w:t>≤ 760</w:t>
            </w:r>
          </w:p>
        </w:tc>
        <w:tc>
          <w:tcPr>
            <w:tcW w:w="1753" w:type="pct"/>
            <w:shd w:val="clear" w:color="auto" w:fill="auto"/>
            <w:vAlign w:val="center"/>
          </w:tcPr>
          <w:p w14:paraId="7A69D603">
            <w:pPr>
              <w:spacing w:line="240" w:lineRule="auto"/>
              <w:jc w:val="center"/>
              <w:rPr>
                <w:rFonts w:hint="eastAsia" w:ascii="宋体" w:hAnsi="宋体"/>
                <w:sz w:val="18"/>
                <w:szCs w:val="18"/>
              </w:rPr>
            </w:pPr>
            <w:r>
              <w:rPr>
                <w:rFonts w:hint="eastAsia" w:ascii="宋体" w:hAnsi="宋体"/>
                <w:sz w:val="18"/>
                <w:szCs w:val="18"/>
              </w:rPr>
              <w:t>≤ 680</w:t>
            </w:r>
          </w:p>
        </w:tc>
      </w:tr>
      <w:tr w14:paraId="1C488EB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1493" w:type="pct"/>
            <w:shd w:val="clear" w:color="auto" w:fill="auto"/>
            <w:vAlign w:val="center"/>
          </w:tcPr>
          <w:p w14:paraId="56C80BB7">
            <w:pPr>
              <w:spacing w:line="240" w:lineRule="auto"/>
              <w:jc w:val="center"/>
              <w:rPr>
                <w:rFonts w:hint="eastAsia" w:ascii="宋体" w:hAnsi="宋体"/>
                <w:sz w:val="18"/>
                <w:szCs w:val="18"/>
              </w:rPr>
            </w:pPr>
            <w:r>
              <w:rPr>
                <w:rFonts w:hint="eastAsia" w:ascii="宋体" w:hAnsi="宋体"/>
                <w:sz w:val="18"/>
                <w:szCs w:val="18"/>
              </w:rPr>
              <w:t>蚊香纸板</w:t>
            </w:r>
          </w:p>
        </w:tc>
        <w:tc>
          <w:tcPr>
            <w:tcW w:w="1752" w:type="pct"/>
            <w:shd w:val="clear" w:color="auto" w:fill="auto"/>
            <w:vAlign w:val="center"/>
          </w:tcPr>
          <w:p w14:paraId="537652BB">
            <w:pPr>
              <w:spacing w:line="240" w:lineRule="auto"/>
              <w:jc w:val="center"/>
              <w:rPr>
                <w:rFonts w:hint="eastAsia" w:ascii="宋体" w:hAnsi="宋体"/>
                <w:sz w:val="18"/>
                <w:szCs w:val="18"/>
              </w:rPr>
            </w:pPr>
            <w:r>
              <w:rPr>
                <w:rFonts w:hint="eastAsia" w:ascii="宋体" w:hAnsi="宋体"/>
                <w:sz w:val="18"/>
                <w:szCs w:val="18"/>
              </w:rPr>
              <w:t>≤ 760</w:t>
            </w:r>
          </w:p>
        </w:tc>
        <w:tc>
          <w:tcPr>
            <w:tcW w:w="1753" w:type="pct"/>
            <w:shd w:val="clear" w:color="auto" w:fill="auto"/>
            <w:vAlign w:val="center"/>
          </w:tcPr>
          <w:p w14:paraId="7D50B54F">
            <w:pPr>
              <w:spacing w:line="240" w:lineRule="auto"/>
              <w:jc w:val="center"/>
              <w:rPr>
                <w:rFonts w:hint="eastAsia" w:ascii="宋体" w:hAnsi="宋体"/>
                <w:sz w:val="18"/>
                <w:szCs w:val="18"/>
              </w:rPr>
            </w:pPr>
            <w:r>
              <w:rPr>
                <w:rFonts w:hint="eastAsia" w:ascii="宋体" w:hAnsi="宋体"/>
                <w:sz w:val="18"/>
                <w:szCs w:val="18"/>
              </w:rPr>
              <w:t>≤ 680</w:t>
            </w:r>
          </w:p>
        </w:tc>
      </w:tr>
      <w:tr w14:paraId="55CEC8F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1493" w:type="pct"/>
            <w:shd w:val="clear" w:color="auto" w:fill="auto"/>
            <w:vAlign w:val="center"/>
          </w:tcPr>
          <w:p w14:paraId="2696BA80">
            <w:pPr>
              <w:spacing w:line="240" w:lineRule="auto"/>
              <w:jc w:val="center"/>
              <w:rPr>
                <w:rFonts w:hint="eastAsia" w:ascii="宋体" w:hAnsi="宋体"/>
                <w:sz w:val="18"/>
                <w:szCs w:val="18"/>
              </w:rPr>
            </w:pPr>
            <w:r>
              <w:rPr>
                <w:rFonts w:hint="eastAsia" w:ascii="宋体" w:hAnsi="宋体"/>
                <w:sz w:val="18"/>
                <w:szCs w:val="18"/>
              </w:rPr>
              <w:t>纸杯原纸</w:t>
            </w:r>
          </w:p>
        </w:tc>
        <w:tc>
          <w:tcPr>
            <w:tcW w:w="1752" w:type="pct"/>
            <w:shd w:val="clear" w:color="auto" w:fill="auto"/>
            <w:vAlign w:val="center"/>
          </w:tcPr>
          <w:p w14:paraId="7F7D7BB1">
            <w:pPr>
              <w:spacing w:line="240" w:lineRule="auto"/>
              <w:jc w:val="center"/>
              <w:rPr>
                <w:rFonts w:hint="eastAsia" w:ascii="宋体" w:hAnsi="宋体"/>
                <w:sz w:val="18"/>
                <w:szCs w:val="18"/>
              </w:rPr>
            </w:pPr>
            <w:r>
              <w:rPr>
                <w:rFonts w:hint="eastAsia" w:ascii="宋体" w:hAnsi="宋体"/>
                <w:sz w:val="18"/>
                <w:szCs w:val="18"/>
              </w:rPr>
              <w:t>≤ 720</w:t>
            </w:r>
          </w:p>
        </w:tc>
        <w:tc>
          <w:tcPr>
            <w:tcW w:w="1753" w:type="pct"/>
            <w:shd w:val="clear" w:color="auto" w:fill="auto"/>
            <w:vAlign w:val="center"/>
          </w:tcPr>
          <w:p w14:paraId="0BFF222D">
            <w:pPr>
              <w:spacing w:line="240" w:lineRule="auto"/>
              <w:jc w:val="center"/>
              <w:rPr>
                <w:rFonts w:hint="eastAsia" w:ascii="宋体" w:hAnsi="宋体"/>
                <w:sz w:val="18"/>
                <w:szCs w:val="18"/>
              </w:rPr>
            </w:pPr>
            <w:r>
              <w:rPr>
                <w:rFonts w:hint="eastAsia" w:ascii="宋体" w:hAnsi="宋体"/>
                <w:sz w:val="18"/>
                <w:szCs w:val="18"/>
              </w:rPr>
              <w:t xml:space="preserve">≤ </w:t>
            </w:r>
            <w:r>
              <w:rPr>
                <w:rFonts w:ascii="宋体" w:hAnsi="宋体"/>
                <w:sz w:val="18"/>
                <w:szCs w:val="18"/>
              </w:rPr>
              <w:t>6</w:t>
            </w:r>
            <w:r>
              <w:rPr>
                <w:rFonts w:hint="eastAsia" w:ascii="宋体" w:hAnsi="宋体"/>
                <w:sz w:val="18"/>
                <w:szCs w:val="18"/>
              </w:rPr>
              <w:t>6</w:t>
            </w:r>
            <w:r>
              <w:rPr>
                <w:rFonts w:ascii="宋体" w:hAnsi="宋体"/>
                <w:sz w:val="18"/>
                <w:szCs w:val="18"/>
              </w:rPr>
              <w:t>0</w:t>
            </w:r>
          </w:p>
        </w:tc>
      </w:tr>
      <w:tr w14:paraId="7809271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5000" w:type="pct"/>
            <w:gridSpan w:val="3"/>
            <w:shd w:val="clear" w:color="auto" w:fill="auto"/>
            <w:vAlign w:val="center"/>
          </w:tcPr>
          <w:p w14:paraId="7900F43C">
            <w:pPr>
              <w:pStyle w:val="183"/>
              <w:numPr>
                <w:ilvl w:val="0"/>
                <w:numId w:val="38"/>
              </w:numPr>
            </w:pPr>
            <w:r>
              <w:rPr>
                <w:rFonts w:hint="eastAsia"/>
              </w:rPr>
              <w:t>有自备热电站或自备工业锅炉时，按实际煤耗折标准煤计算，外供电力、蒸汽时，按实际煤耗折标准煤计算进行扣减。外购电力、蒸汽时，按等价值折标准煤系数计算，电力折标准煤系数采用0.33</w:t>
            </w:r>
            <w:r>
              <w:t xml:space="preserve"> </w:t>
            </w:r>
            <w:r>
              <w:rPr>
                <w:rFonts w:hint="eastAsia"/>
              </w:rPr>
              <w:t>kgce/kW</w:t>
            </w:r>
            <w:r>
              <w:t>·</w:t>
            </w:r>
            <w:r>
              <w:rPr>
                <w:rFonts w:hint="eastAsia"/>
              </w:rPr>
              <w:t>h。</w:t>
            </w:r>
          </w:p>
          <w:p w14:paraId="34A6A4B3">
            <w:pPr>
              <w:pStyle w:val="183"/>
              <w:numPr>
                <w:ilvl w:val="0"/>
                <w:numId w:val="38"/>
              </w:numPr>
            </w:pPr>
            <w:r>
              <w:rPr>
                <w:rFonts w:hint="eastAsia"/>
              </w:rPr>
              <w:t>新水折标准煤系数采用0.0857 kgce/t。</w:t>
            </w:r>
          </w:p>
        </w:tc>
      </w:tr>
    </w:tbl>
    <w:p w14:paraId="122D82D0">
      <w:pPr>
        <w:pStyle w:val="108"/>
        <w:spacing w:before="156" w:after="156"/>
      </w:pPr>
      <w:bookmarkStart w:id="424" w:name="_Toc492372626"/>
      <w:bookmarkStart w:id="425" w:name="_Toc175504966"/>
      <w:bookmarkStart w:id="426" w:name="_Toc492372480"/>
      <w:bookmarkStart w:id="427" w:name="_Toc11924"/>
      <w:bookmarkStart w:id="428" w:name="_Toc496881048"/>
      <w:bookmarkStart w:id="429" w:name="_Toc496771311"/>
      <w:bookmarkStart w:id="430" w:name="_Toc23894"/>
      <w:bookmarkStart w:id="431" w:name="_Toc502760515"/>
      <w:bookmarkStart w:id="432" w:name="_Toc483398304"/>
      <w:bookmarkStart w:id="433" w:name="_Toc175690952"/>
      <w:bookmarkStart w:id="434" w:name="_Toc483578715"/>
      <w:bookmarkStart w:id="435" w:name="_Toc20825"/>
      <w:bookmarkStart w:id="436" w:name="_Toc483588744"/>
      <w:bookmarkStart w:id="437" w:name="_Toc483588208"/>
      <w:r>
        <w:rPr>
          <w:rFonts w:hint="eastAsia"/>
        </w:rPr>
        <w:t>粘胶纤维</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770016F0">
      <w:pPr>
        <w:pStyle w:val="68"/>
        <w:spacing w:before="156" w:after="156"/>
      </w:pPr>
      <w:r>
        <w:rPr>
          <w:rFonts w:hint="eastAsia"/>
        </w:rPr>
        <w:t>适用对象</w:t>
      </w:r>
    </w:p>
    <w:p w14:paraId="597CE9ED">
      <w:pPr>
        <w:pStyle w:val="59"/>
        <w:ind w:firstLine="420"/>
      </w:pPr>
      <w:r>
        <w:rPr>
          <w:rFonts w:hint="eastAsia"/>
        </w:rPr>
        <w:t>适用于粘胶纤维生产企业单位产品能耗的计算、考核,以及对新建项目的能耗控制。</w:t>
      </w:r>
    </w:p>
    <w:p w14:paraId="282702F0">
      <w:pPr>
        <w:pStyle w:val="68"/>
        <w:spacing w:before="156" w:after="156"/>
      </w:pPr>
      <w:r>
        <w:rPr>
          <w:rFonts w:hint="eastAsia"/>
        </w:rPr>
        <w:t>粘胶纤维单位产品综合能耗限定值和准入值</w:t>
      </w:r>
    </w:p>
    <w:p w14:paraId="7BA882DB">
      <w:pPr>
        <w:pStyle w:val="59"/>
        <w:ind w:firstLine="420"/>
        <w:rPr>
          <w:rFonts w:hint="eastAsia" w:hAnsi="宋体"/>
        </w:rPr>
      </w:pPr>
      <w:r>
        <w:rPr>
          <w:rFonts w:hint="eastAsia"/>
        </w:rPr>
        <w:t>现有企业粘胶纤维单位产品综合能耗限定值，新建企业、现有企业改扩建项目粘胶纤维单位产品综合能耗准入值应符合表15的规定。</w:t>
      </w:r>
    </w:p>
    <w:p w14:paraId="0AB10B51">
      <w:pPr>
        <w:pStyle w:val="115"/>
        <w:spacing w:before="156" w:after="156"/>
      </w:pPr>
      <w:r>
        <w:rPr>
          <w:rFonts w:hint="eastAsia"/>
        </w:rPr>
        <w:t>粘胶纤维单位产品综合能耗限定值和准入值</w:t>
      </w:r>
    </w:p>
    <w:tbl>
      <w:tblPr>
        <w:tblStyle w:val="28"/>
        <w:tblW w:w="5030" w:type="pct"/>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0" w:type="dxa"/>
          <w:bottom w:w="0" w:type="dxa"/>
          <w:right w:w="0" w:type="dxa"/>
        </w:tblCellMar>
      </w:tblPr>
      <w:tblGrid>
        <w:gridCol w:w="4713"/>
        <w:gridCol w:w="2358"/>
        <w:gridCol w:w="2359"/>
      </w:tblGrid>
      <w:tr w14:paraId="652ACA2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499" w:type="pct"/>
            <w:tcBorders>
              <w:top w:val="single" w:color="000000" w:sz="8" w:space="0"/>
              <w:bottom w:val="single" w:color="000000" w:sz="8" w:space="0"/>
            </w:tcBorders>
            <w:shd w:val="clear" w:color="auto" w:fill="auto"/>
            <w:vAlign w:val="center"/>
          </w:tcPr>
          <w:p w14:paraId="450BCA5D">
            <w:pPr>
              <w:pStyle w:val="234"/>
              <w:snapToGrid w:val="0"/>
              <w:ind w:firstLine="0" w:firstLineChars="0"/>
              <w:jc w:val="center"/>
              <w:rPr>
                <w:rFonts w:hint="eastAsia" w:hAnsi="宋体"/>
                <w:sz w:val="18"/>
                <w:szCs w:val="18"/>
              </w:rPr>
            </w:pPr>
            <w:r>
              <w:rPr>
                <w:rFonts w:hint="eastAsia" w:hAnsi="宋体"/>
                <w:spacing w:val="20"/>
                <w:sz w:val="18"/>
                <w:szCs w:val="18"/>
              </w:rPr>
              <w:t>类别</w:t>
            </w:r>
          </w:p>
        </w:tc>
        <w:tc>
          <w:tcPr>
            <w:tcW w:w="1248" w:type="pct"/>
            <w:tcBorders>
              <w:top w:val="single" w:color="000000" w:sz="8" w:space="0"/>
              <w:bottom w:val="single" w:color="000000" w:sz="8" w:space="0"/>
            </w:tcBorders>
            <w:shd w:val="clear" w:color="auto" w:fill="auto"/>
            <w:vAlign w:val="center"/>
          </w:tcPr>
          <w:p w14:paraId="705F2481">
            <w:pPr>
              <w:snapToGrid w:val="0"/>
              <w:spacing w:line="240" w:lineRule="auto"/>
              <w:jc w:val="center"/>
              <w:rPr>
                <w:rFonts w:hint="eastAsia" w:ascii="宋体" w:hAnsi="宋体"/>
                <w:sz w:val="18"/>
                <w:szCs w:val="18"/>
              </w:rPr>
            </w:pPr>
            <w:r>
              <w:rPr>
                <w:rFonts w:hint="eastAsia" w:ascii="宋体" w:hAnsi="宋体"/>
                <w:sz w:val="18"/>
                <w:szCs w:val="18"/>
              </w:rPr>
              <w:t>单位产品综合能耗限定值</w:t>
            </w:r>
          </w:p>
          <w:p w14:paraId="0D085716">
            <w:pPr>
              <w:pStyle w:val="234"/>
              <w:snapToGrid w:val="0"/>
              <w:ind w:firstLine="0" w:firstLineChars="0"/>
              <w:jc w:val="center"/>
              <w:rPr>
                <w:rFonts w:hint="eastAsia" w:hAnsi="宋体"/>
                <w:sz w:val="18"/>
                <w:szCs w:val="18"/>
              </w:rPr>
            </w:pPr>
            <w:r>
              <w:rPr>
                <w:rFonts w:hint="eastAsia" w:hAnsi="宋体"/>
                <w:sz w:val="18"/>
                <w:szCs w:val="18"/>
              </w:rPr>
              <w:t>kgce/t</w:t>
            </w:r>
          </w:p>
        </w:tc>
        <w:tc>
          <w:tcPr>
            <w:tcW w:w="1252" w:type="pct"/>
            <w:tcBorders>
              <w:top w:val="single" w:color="000000" w:sz="8" w:space="0"/>
              <w:bottom w:val="single" w:color="000000" w:sz="8" w:space="0"/>
            </w:tcBorders>
            <w:shd w:val="clear" w:color="auto" w:fill="auto"/>
            <w:vAlign w:val="center"/>
          </w:tcPr>
          <w:p w14:paraId="1401A1F7">
            <w:pPr>
              <w:snapToGrid w:val="0"/>
              <w:spacing w:line="240" w:lineRule="auto"/>
              <w:jc w:val="center"/>
              <w:rPr>
                <w:rFonts w:hint="eastAsia" w:ascii="宋体" w:hAnsi="宋体"/>
                <w:sz w:val="18"/>
                <w:szCs w:val="18"/>
              </w:rPr>
            </w:pPr>
            <w:r>
              <w:rPr>
                <w:rFonts w:hint="eastAsia" w:ascii="宋体" w:hAnsi="宋体"/>
                <w:sz w:val="18"/>
                <w:szCs w:val="18"/>
              </w:rPr>
              <w:t>单位产品综合能耗准入值</w:t>
            </w:r>
          </w:p>
          <w:p w14:paraId="1DAF3256">
            <w:pPr>
              <w:pStyle w:val="234"/>
              <w:snapToGrid w:val="0"/>
              <w:ind w:firstLine="0" w:firstLineChars="0"/>
              <w:jc w:val="center"/>
              <w:rPr>
                <w:rFonts w:hint="eastAsia" w:hAnsi="宋体"/>
                <w:sz w:val="18"/>
                <w:szCs w:val="18"/>
              </w:rPr>
            </w:pPr>
            <w:r>
              <w:rPr>
                <w:rFonts w:hint="eastAsia" w:hAnsi="宋体"/>
                <w:sz w:val="18"/>
                <w:szCs w:val="18"/>
              </w:rPr>
              <w:t>kgce/t</w:t>
            </w:r>
          </w:p>
        </w:tc>
      </w:tr>
      <w:tr w14:paraId="61EFAD8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499" w:type="pct"/>
            <w:tcBorders>
              <w:top w:val="single" w:color="000000" w:sz="8" w:space="0"/>
            </w:tcBorders>
            <w:shd w:val="clear" w:color="auto" w:fill="auto"/>
            <w:vAlign w:val="center"/>
          </w:tcPr>
          <w:p w14:paraId="359A5439">
            <w:pPr>
              <w:pStyle w:val="234"/>
              <w:snapToGrid w:val="0"/>
              <w:ind w:firstLine="0" w:firstLineChars="0"/>
              <w:jc w:val="center"/>
              <w:rPr>
                <w:rFonts w:hint="eastAsia" w:hAnsi="宋体"/>
                <w:sz w:val="18"/>
                <w:szCs w:val="18"/>
              </w:rPr>
            </w:pPr>
            <w:r>
              <w:rPr>
                <w:rFonts w:hint="eastAsia" w:hAnsi="宋体"/>
                <w:sz w:val="18"/>
                <w:szCs w:val="18"/>
              </w:rPr>
              <w:t>长丝</w:t>
            </w:r>
          </w:p>
        </w:tc>
        <w:tc>
          <w:tcPr>
            <w:tcW w:w="1249" w:type="pct"/>
            <w:tcBorders>
              <w:top w:val="single" w:color="000000" w:sz="8" w:space="0"/>
            </w:tcBorders>
            <w:shd w:val="clear" w:color="auto" w:fill="auto"/>
            <w:vAlign w:val="center"/>
          </w:tcPr>
          <w:p w14:paraId="7C9DD390">
            <w:pPr>
              <w:pStyle w:val="234"/>
              <w:snapToGrid w:val="0"/>
              <w:ind w:firstLine="0" w:firstLineChars="0"/>
              <w:jc w:val="center"/>
              <w:rPr>
                <w:rFonts w:hint="eastAsia" w:hAnsi="宋体"/>
                <w:sz w:val="18"/>
                <w:szCs w:val="18"/>
              </w:rPr>
            </w:pPr>
            <w:r>
              <w:rPr>
                <w:rFonts w:hint="eastAsia" w:hAnsi="宋体"/>
                <w:spacing w:val="20"/>
                <w:sz w:val="18"/>
                <w:szCs w:val="18"/>
              </w:rPr>
              <w:t>≤3350</w:t>
            </w:r>
          </w:p>
        </w:tc>
        <w:tc>
          <w:tcPr>
            <w:tcW w:w="1251" w:type="pct"/>
            <w:tcBorders>
              <w:top w:val="single" w:color="000000" w:sz="8" w:space="0"/>
            </w:tcBorders>
            <w:shd w:val="clear" w:color="auto" w:fill="auto"/>
            <w:vAlign w:val="center"/>
          </w:tcPr>
          <w:p w14:paraId="4DCA38BE">
            <w:pPr>
              <w:pStyle w:val="234"/>
              <w:snapToGrid w:val="0"/>
              <w:ind w:firstLine="0" w:firstLineChars="0"/>
              <w:jc w:val="center"/>
              <w:rPr>
                <w:rFonts w:hint="eastAsia" w:hAnsi="宋体"/>
                <w:spacing w:val="20"/>
                <w:sz w:val="18"/>
                <w:szCs w:val="18"/>
              </w:rPr>
            </w:pPr>
            <w:r>
              <w:rPr>
                <w:rFonts w:hint="eastAsia" w:hAnsi="宋体"/>
                <w:spacing w:val="20"/>
                <w:sz w:val="18"/>
                <w:szCs w:val="18"/>
              </w:rPr>
              <w:t>≤3150</w:t>
            </w:r>
          </w:p>
        </w:tc>
      </w:tr>
      <w:tr w14:paraId="737C016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2499" w:type="pct"/>
            <w:shd w:val="clear" w:color="auto" w:fill="auto"/>
            <w:vAlign w:val="center"/>
          </w:tcPr>
          <w:p w14:paraId="42E22D4D">
            <w:pPr>
              <w:pStyle w:val="234"/>
              <w:snapToGrid w:val="0"/>
              <w:ind w:firstLine="0" w:firstLineChars="0"/>
              <w:jc w:val="center"/>
              <w:rPr>
                <w:rFonts w:hint="eastAsia" w:hAnsi="宋体"/>
                <w:sz w:val="18"/>
                <w:szCs w:val="18"/>
              </w:rPr>
            </w:pPr>
            <w:r>
              <w:rPr>
                <w:rFonts w:hint="eastAsia" w:hAnsi="宋体"/>
                <w:sz w:val="18"/>
                <w:szCs w:val="18"/>
              </w:rPr>
              <w:t>短纤维</w:t>
            </w:r>
          </w:p>
        </w:tc>
        <w:tc>
          <w:tcPr>
            <w:tcW w:w="1250" w:type="pct"/>
            <w:shd w:val="clear" w:color="auto" w:fill="auto"/>
            <w:vAlign w:val="center"/>
          </w:tcPr>
          <w:p w14:paraId="79F0C174">
            <w:pPr>
              <w:pStyle w:val="234"/>
              <w:snapToGrid w:val="0"/>
              <w:ind w:firstLine="0" w:firstLineChars="0"/>
              <w:jc w:val="center"/>
              <w:rPr>
                <w:rFonts w:hint="eastAsia" w:hAnsi="宋体"/>
                <w:sz w:val="18"/>
                <w:szCs w:val="18"/>
              </w:rPr>
            </w:pPr>
            <w:r>
              <w:rPr>
                <w:rFonts w:hint="eastAsia" w:hAnsi="宋体"/>
                <w:spacing w:val="20"/>
                <w:sz w:val="18"/>
                <w:szCs w:val="18"/>
              </w:rPr>
              <w:t>≤1050</w:t>
            </w:r>
          </w:p>
        </w:tc>
        <w:tc>
          <w:tcPr>
            <w:tcW w:w="1250" w:type="pct"/>
            <w:shd w:val="clear" w:color="auto" w:fill="auto"/>
            <w:vAlign w:val="center"/>
          </w:tcPr>
          <w:p w14:paraId="243A8138">
            <w:pPr>
              <w:pStyle w:val="234"/>
              <w:snapToGrid w:val="0"/>
              <w:ind w:firstLine="0" w:firstLineChars="0"/>
              <w:jc w:val="center"/>
              <w:rPr>
                <w:rFonts w:hint="eastAsia" w:hAnsi="宋体" w:eastAsia="宋体"/>
                <w:spacing w:val="20"/>
                <w:sz w:val="18"/>
                <w:szCs w:val="18"/>
                <w:lang w:val="en-US" w:eastAsia="zh-CN"/>
              </w:rPr>
            </w:pPr>
            <w:r>
              <w:rPr>
                <w:rFonts w:hint="eastAsia" w:hAnsi="宋体"/>
                <w:spacing w:val="20"/>
                <w:sz w:val="18"/>
                <w:szCs w:val="18"/>
              </w:rPr>
              <w:t>≤96</w:t>
            </w:r>
            <w:r>
              <w:rPr>
                <w:rFonts w:hint="eastAsia" w:hAnsi="宋体"/>
                <w:spacing w:val="20"/>
                <w:sz w:val="18"/>
                <w:szCs w:val="18"/>
                <w:lang w:val="en-US" w:eastAsia="zh-CN"/>
              </w:rPr>
              <w:t>0</w:t>
            </w:r>
          </w:p>
        </w:tc>
      </w:tr>
      <w:tr w14:paraId="26CA4D8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c>
          <w:tcPr>
            <w:tcW w:w="5000" w:type="pct"/>
            <w:gridSpan w:val="3"/>
            <w:shd w:val="clear" w:color="auto" w:fill="auto"/>
            <w:vAlign w:val="center"/>
          </w:tcPr>
          <w:p w14:paraId="774ED83B">
            <w:pPr>
              <w:pStyle w:val="182"/>
              <w:snapToGrid w:val="0"/>
              <w:rPr>
                <w:spacing w:val="20"/>
              </w:rPr>
            </w:pPr>
            <w:r>
              <w:t>电力折标准煤系数</w:t>
            </w:r>
            <w:r>
              <w:rPr>
                <w:rFonts w:hint="eastAsia"/>
              </w:rPr>
              <w:t>采用0.1229</w:t>
            </w:r>
            <w:r>
              <w:t xml:space="preserve"> kgce</w:t>
            </w:r>
            <w:r>
              <w:rPr>
                <w:spacing w:val="20"/>
              </w:rPr>
              <w:t>/</w:t>
            </w:r>
            <w:r>
              <w:t>kW·h</w:t>
            </w:r>
            <w:r>
              <w:rPr>
                <w:rFonts w:hint="eastAsia"/>
              </w:rPr>
              <w:t>，新水折标准煤系数采用0.0857</w:t>
            </w:r>
            <w:r>
              <w:t xml:space="preserve"> </w:t>
            </w:r>
            <w:r>
              <w:rPr>
                <w:rFonts w:hint="eastAsia"/>
              </w:rPr>
              <w:t>kgce/t</w:t>
            </w:r>
            <w:r>
              <w:rPr>
                <w:rFonts w:hint="eastAsia"/>
                <w:spacing w:val="20"/>
              </w:rPr>
              <w:t>。</w:t>
            </w:r>
          </w:p>
        </w:tc>
      </w:tr>
    </w:tbl>
    <w:p w14:paraId="3A0D7595">
      <w:pPr>
        <w:pStyle w:val="108"/>
        <w:spacing w:before="156" w:after="156"/>
      </w:pPr>
      <w:bookmarkStart w:id="438" w:name="_Toc12023"/>
      <w:bookmarkStart w:id="439" w:name="_Toc175690953"/>
      <w:bookmarkStart w:id="440" w:name="_Toc175504967"/>
      <w:bookmarkStart w:id="441" w:name="_Toc492372627"/>
      <w:bookmarkStart w:id="442" w:name="_Toc496881049"/>
      <w:bookmarkStart w:id="443" w:name="_Toc496771312"/>
      <w:bookmarkStart w:id="444" w:name="_Toc502760516"/>
      <w:bookmarkStart w:id="445" w:name="_Toc2867"/>
      <w:bookmarkStart w:id="446" w:name="_Toc492372481"/>
      <w:bookmarkStart w:id="447" w:name="_Toc25849"/>
      <w:r>
        <w:rPr>
          <w:rFonts w:hint="eastAsia"/>
        </w:rPr>
        <w:t>锦纶丝</w:t>
      </w:r>
      <w:bookmarkEnd w:id="438"/>
      <w:bookmarkEnd w:id="439"/>
      <w:bookmarkEnd w:id="440"/>
      <w:bookmarkEnd w:id="441"/>
      <w:bookmarkEnd w:id="442"/>
      <w:bookmarkEnd w:id="443"/>
      <w:bookmarkEnd w:id="444"/>
      <w:bookmarkEnd w:id="445"/>
      <w:bookmarkEnd w:id="446"/>
      <w:bookmarkEnd w:id="447"/>
    </w:p>
    <w:p w14:paraId="3164B5CA">
      <w:pPr>
        <w:pStyle w:val="68"/>
        <w:spacing w:before="156" w:after="156"/>
      </w:pPr>
      <w:bookmarkStart w:id="448" w:name="_Toc482862489"/>
      <w:bookmarkEnd w:id="448"/>
      <w:r>
        <w:rPr>
          <w:rFonts w:hint="eastAsia"/>
        </w:rPr>
        <w:t>适用对象</w:t>
      </w:r>
    </w:p>
    <w:p w14:paraId="7F9EC5FE">
      <w:pPr>
        <w:pStyle w:val="59"/>
        <w:ind w:firstLine="420"/>
        <w:rPr>
          <w:rStyle w:val="245"/>
          <w:rFonts w:hint="eastAsia" w:ascii="宋体" w:hAnsi="宋体" w:eastAsia="宋体"/>
        </w:rPr>
      </w:pPr>
      <w:r>
        <w:rPr>
          <w:rStyle w:val="245"/>
          <w:rFonts w:hint="eastAsia" w:ascii="宋体" w:hAnsi="宋体" w:eastAsia="宋体"/>
        </w:rPr>
        <w:t xml:space="preserve">适用于以牌号 </w:t>
      </w:r>
      <w:r>
        <w:rPr>
          <w:rStyle w:val="245"/>
          <w:rFonts w:ascii="宋体" w:hAnsi="宋体" w:eastAsia="宋体"/>
        </w:rPr>
        <w:t>PA-6 切片为原料锦纶丝生产企业</w:t>
      </w:r>
      <w:r>
        <w:rPr>
          <w:rFonts w:hint="eastAsia"/>
        </w:rPr>
        <w:t>单位产品</w:t>
      </w:r>
      <w:r>
        <w:rPr>
          <w:rStyle w:val="245"/>
          <w:rFonts w:ascii="宋体" w:hAnsi="宋体" w:eastAsia="宋体"/>
        </w:rPr>
        <w:t>能耗的计算、考核与评价。以其他牌号为原料的锦纶丝生产企业可参照执行。</w:t>
      </w:r>
    </w:p>
    <w:p w14:paraId="091EA9A6">
      <w:pPr>
        <w:pStyle w:val="68"/>
        <w:spacing w:before="156" w:after="156"/>
      </w:pPr>
      <w:r>
        <w:rPr>
          <w:rFonts w:hint="eastAsia"/>
        </w:rPr>
        <w:t>锦纶丝单位产量可比综合能耗限定值和准入值</w:t>
      </w:r>
    </w:p>
    <w:p w14:paraId="785EE8E4">
      <w:pPr>
        <w:pStyle w:val="59"/>
        <w:ind w:firstLine="420"/>
      </w:pPr>
      <w:r>
        <w:rPr>
          <w:rFonts w:hint="eastAsia"/>
        </w:rPr>
        <w:t>现有企业锦纶丝单位产量可比综合能耗限定值，新建企业、现有企业改扩建项目锦纶丝单位产量可比综合能耗准入值应符合表16的规定。</w:t>
      </w:r>
    </w:p>
    <w:p w14:paraId="6C197DBE">
      <w:pPr>
        <w:pStyle w:val="115"/>
        <w:spacing w:before="156" w:after="156"/>
      </w:pPr>
      <w:r>
        <w:rPr>
          <w:rFonts w:hint="eastAsia"/>
        </w:rPr>
        <w:t>锦纶丝单位产量可比综合能耗限定值和准入值</w:t>
      </w:r>
    </w:p>
    <w:tbl>
      <w:tblPr>
        <w:tblStyle w:val="28"/>
        <w:tblW w:w="5000" w:type="pct"/>
        <w:jc w:val="center"/>
        <w:tblLayout w:type="autofit"/>
        <w:tblCellMar>
          <w:top w:w="0" w:type="dxa"/>
          <w:left w:w="108" w:type="dxa"/>
          <w:bottom w:w="0" w:type="dxa"/>
          <w:right w:w="108" w:type="dxa"/>
        </w:tblCellMar>
      </w:tblPr>
      <w:tblGrid>
        <w:gridCol w:w="2566"/>
        <w:gridCol w:w="1390"/>
        <w:gridCol w:w="2925"/>
        <w:gridCol w:w="2689"/>
      </w:tblGrid>
      <w:tr w14:paraId="62F2774B">
        <w:tblPrEx>
          <w:tblCellMar>
            <w:top w:w="0" w:type="dxa"/>
            <w:left w:w="108" w:type="dxa"/>
            <w:bottom w:w="0" w:type="dxa"/>
            <w:right w:w="108" w:type="dxa"/>
          </w:tblCellMar>
        </w:tblPrEx>
        <w:trPr>
          <w:trHeight w:val="340" w:hRule="atLeast"/>
          <w:jc w:val="center"/>
        </w:trPr>
        <w:tc>
          <w:tcPr>
            <w:tcW w:w="2067" w:type="pct"/>
            <w:gridSpan w:val="2"/>
            <w:tcBorders>
              <w:top w:val="single" w:color="auto" w:sz="8" w:space="0"/>
              <w:left w:val="single" w:color="auto" w:sz="8" w:space="0"/>
              <w:bottom w:val="single" w:color="auto" w:sz="4" w:space="0"/>
              <w:right w:val="single" w:color="auto" w:sz="4" w:space="0"/>
            </w:tcBorders>
            <w:shd w:val="clear" w:color="auto" w:fill="auto"/>
            <w:vAlign w:val="center"/>
          </w:tcPr>
          <w:p w14:paraId="28F9D93C">
            <w:pPr>
              <w:pStyle w:val="240"/>
              <w:snapToGrid w:val="0"/>
              <w:jc w:val="center"/>
              <w:rPr>
                <w:rFonts w:hint="eastAsia" w:ascii="宋体" w:hAnsi="宋体"/>
                <w:sz w:val="18"/>
                <w:szCs w:val="18"/>
              </w:rPr>
            </w:pPr>
            <w:r>
              <w:rPr>
                <w:rFonts w:hint="eastAsia" w:ascii="宋体" w:hAnsi="宋体"/>
                <w:sz w:val="18"/>
                <w:szCs w:val="18"/>
              </w:rPr>
              <w:t>类别</w:t>
            </w:r>
          </w:p>
        </w:tc>
        <w:tc>
          <w:tcPr>
            <w:tcW w:w="1528" w:type="pct"/>
            <w:tcBorders>
              <w:top w:val="single" w:color="auto" w:sz="8" w:space="0"/>
              <w:left w:val="nil"/>
              <w:bottom w:val="single" w:color="auto" w:sz="4" w:space="0"/>
              <w:right w:val="single" w:color="auto" w:sz="8" w:space="0"/>
            </w:tcBorders>
            <w:shd w:val="clear" w:color="auto" w:fill="auto"/>
            <w:vAlign w:val="center"/>
          </w:tcPr>
          <w:p w14:paraId="140FAC57">
            <w:pPr>
              <w:pStyle w:val="240"/>
              <w:snapToGrid w:val="0"/>
              <w:spacing w:line="240" w:lineRule="exact"/>
              <w:jc w:val="center"/>
              <w:rPr>
                <w:rFonts w:hint="eastAsia" w:ascii="宋体" w:hAnsi="宋体"/>
                <w:sz w:val="18"/>
                <w:szCs w:val="18"/>
              </w:rPr>
            </w:pPr>
            <w:r>
              <w:rPr>
                <w:rFonts w:hint="eastAsia" w:ascii="宋体" w:hAnsi="宋体"/>
                <w:sz w:val="18"/>
                <w:szCs w:val="18"/>
              </w:rPr>
              <w:t>单位产量可比综合能耗限定值</w:t>
            </w:r>
          </w:p>
          <w:p w14:paraId="38533B68">
            <w:pPr>
              <w:pStyle w:val="240"/>
              <w:snapToGrid w:val="0"/>
              <w:spacing w:line="240" w:lineRule="exact"/>
              <w:jc w:val="center"/>
              <w:rPr>
                <w:rFonts w:hint="eastAsia" w:ascii="宋体" w:hAnsi="宋体"/>
                <w:sz w:val="18"/>
                <w:szCs w:val="18"/>
              </w:rPr>
            </w:pPr>
            <w:r>
              <w:rPr>
                <w:rFonts w:hint="eastAsia" w:ascii="宋体" w:hAnsi="宋体"/>
                <w:sz w:val="18"/>
                <w:szCs w:val="18"/>
              </w:rPr>
              <w:t>kgce/t</w:t>
            </w:r>
          </w:p>
        </w:tc>
        <w:tc>
          <w:tcPr>
            <w:tcW w:w="1403" w:type="pct"/>
            <w:tcBorders>
              <w:top w:val="single" w:color="auto" w:sz="8" w:space="0"/>
              <w:left w:val="nil"/>
              <w:bottom w:val="single" w:color="auto" w:sz="4" w:space="0"/>
              <w:right w:val="single" w:color="auto" w:sz="8" w:space="0"/>
            </w:tcBorders>
            <w:shd w:val="clear" w:color="auto" w:fill="auto"/>
            <w:vAlign w:val="center"/>
          </w:tcPr>
          <w:p w14:paraId="6C1AC84A">
            <w:pPr>
              <w:pStyle w:val="240"/>
              <w:snapToGrid w:val="0"/>
              <w:jc w:val="center"/>
              <w:rPr>
                <w:rFonts w:hint="eastAsia" w:ascii="宋体" w:hAnsi="宋体"/>
                <w:sz w:val="18"/>
                <w:szCs w:val="18"/>
              </w:rPr>
            </w:pPr>
            <w:r>
              <w:rPr>
                <w:rFonts w:hint="eastAsia" w:ascii="宋体" w:hAnsi="宋体"/>
                <w:sz w:val="18"/>
                <w:szCs w:val="18"/>
              </w:rPr>
              <w:t>单位产量可比综合能耗准入值</w:t>
            </w:r>
          </w:p>
          <w:p w14:paraId="5A82B1F9">
            <w:pPr>
              <w:pStyle w:val="240"/>
              <w:snapToGrid w:val="0"/>
              <w:spacing w:line="240" w:lineRule="exact"/>
              <w:jc w:val="center"/>
              <w:rPr>
                <w:rFonts w:hint="eastAsia" w:ascii="宋体" w:hAnsi="宋体"/>
                <w:sz w:val="18"/>
                <w:szCs w:val="18"/>
              </w:rPr>
            </w:pPr>
            <w:r>
              <w:rPr>
                <w:rFonts w:hint="eastAsia" w:ascii="宋体" w:hAnsi="宋体"/>
                <w:sz w:val="18"/>
                <w:szCs w:val="18"/>
              </w:rPr>
              <w:t>kgce/t</w:t>
            </w:r>
          </w:p>
        </w:tc>
      </w:tr>
      <w:tr w14:paraId="6918365D">
        <w:tblPrEx>
          <w:tblCellMar>
            <w:top w:w="0" w:type="dxa"/>
            <w:left w:w="108" w:type="dxa"/>
            <w:bottom w:w="0" w:type="dxa"/>
            <w:right w:w="108" w:type="dxa"/>
          </w:tblCellMar>
        </w:tblPrEx>
        <w:trPr>
          <w:trHeight w:val="340" w:hRule="atLeast"/>
          <w:jc w:val="center"/>
        </w:trPr>
        <w:tc>
          <w:tcPr>
            <w:tcW w:w="1341" w:type="pct"/>
            <w:vMerge w:val="restart"/>
            <w:tcBorders>
              <w:top w:val="nil"/>
              <w:left w:val="single" w:color="auto" w:sz="8" w:space="0"/>
              <w:bottom w:val="single" w:color="auto" w:sz="4" w:space="0"/>
              <w:right w:val="single" w:color="auto" w:sz="4" w:space="0"/>
            </w:tcBorders>
            <w:shd w:val="clear" w:color="auto" w:fill="auto"/>
            <w:vAlign w:val="center"/>
          </w:tcPr>
          <w:p w14:paraId="0AD77049">
            <w:pPr>
              <w:pStyle w:val="240"/>
              <w:snapToGrid w:val="0"/>
              <w:jc w:val="center"/>
              <w:rPr>
                <w:rFonts w:hint="eastAsia" w:ascii="宋体" w:hAnsi="宋体"/>
                <w:sz w:val="18"/>
                <w:szCs w:val="18"/>
              </w:rPr>
            </w:pPr>
            <w:r>
              <w:rPr>
                <w:rFonts w:hint="eastAsia" w:ascii="宋体" w:hAnsi="宋体"/>
                <w:sz w:val="18"/>
                <w:szCs w:val="18"/>
              </w:rPr>
              <w:t>锦纶民用丝（dtex</w:t>
            </w:r>
            <w:r>
              <w:rPr>
                <w:rFonts w:ascii="宋体" w:hAnsi="宋体"/>
                <w:sz w:val="18"/>
                <w:szCs w:val="18"/>
              </w:rPr>
              <w:t xml:space="preserve"> </w:t>
            </w:r>
            <w:r>
              <w:rPr>
                <w:rFonts w:hint="eastAsia" w:ascii="宋体" w:hAnsi="宋体"/>
                <w:sz w:val="18"/>
                <w:szCs w:val="18"/>
              </w:rPr>
              <w:t>≤ 600）</w:t>
            </w:r>
          </w:p>
        </w:tc>
        <w:tc>
          <w:tcPr>
            <w:tcW w:w="726" w:type="pct"/>
            <w:tcBorders>
              <w:top w:val="single" w:color="auto" w:sz="4" w:space="0"/>
              <w:left w:val="nil"/>
              <w:bottom w:val="single" w:color="auto" w:sz="4" w:space="0"/>
              <w:right w:val="single" w:color="auto" w:sz="4" w:space="0"/>
            </w:tcBorders>
            <w:shd w:val="clear" w:color="auto" w:fill="auto"/>
            <w:vAlign w:val="center"/>
          </w:tcPr>
          <w:p w14:paraId="05FB538D">
            <w:pPr>
              <w:pStyle w:val="240"/>
              <w:snapToGrid w:val="0"/>
              <w:jc w:val="center"/>
              <w:rPr>
                <w:rFonts w:hint="eastAsia" w:ascii="宋体" w:hAnsi="宋体"/>
                <w:sz w:val="18"/>
                <w:szCs w:val="18"/>
              </w:rPr>
            </w:pPr>
            <w:r>
              <w:rPr>
                <w:rFonts w:hint="eastAsia" w:ascii="宋体" w:hAnsi="宋体"/>
                <w:sz w:val="18"/>
                <w:szCs w:val="18"/>
              </w:rPr>
              <w:t>一步法</w:t>
            </w:r>
          </w:p>
        </w:tc>
        <w:tc>
          <w:tcPr>
            <w:tcW w:w="1528" w:type="pct"/>
            <w:tcBorders>
              <w:top w:val="single" w:color="auto" w:sz="4" w:space="0"/>
              <w:left w:val="nil"/>
              <w:bottom w:val="single" w:color="auto" w:sz="4" w:space="0"/>
              <w:right w:val="single" w:color="auto" w:sz="8" w:space="0"/>
            </w:tcBorders>
            <w:shd w:val="clear" w:color="auto" w:fill="auto"/>
            <w:vAlign w:val="center"/>
          </w:tcPr>
          <w:p w14:paraId="15C0F016">
            <w:pPr>
              <w:pStyle w:val="240"/>
              <w:snapToGrid w:val="0"/>
              <w:jc w:val="center"/>
              <w:rPr>
                <w:rFonts w:hint="eastAsia" w:ascii="宋体" w:hAnsi="宋体"/>
                <w:sz w:val="18"/>
                <w:szCs w:val="18"/>
              </w:rPr>
            </w:pPr>
            <w:r>
              <w:rPr>
                <w:rFonts w:hint="eastAsia" w:ascii="宋体" w:hAnsi="宋体"/>
                <w:sz w:val="18"/>
                <w:szCs w:val="18"/>
              </w:rPr>
              <w:t>≤ 330</w:t>
            </w:r>
          </w:p>
        </w:tc>
        <w:tc>
          <w:tcPr>
            <w:tcW w:w="1403" w:type="pct"/>
            <w:tcBorders>
              <w:top w:val="single" w:color="auto" w:sz="4" w:space="0"/>
              <w:left w:val="nil"/>
              <w:bottom w:val="single" w:color="auto" w:sz="4" w:space="0"/>
              <w:right w:val="single" w:color="auto" w:sz="8" w:space="0"/>
            </w:tcBorders>
            <w:shd w:val="clear" w:color="auto" w:fill="auto"/>
            <w:vAlign w:val="center"/>
          </w:tcPr>
          <w:p w14:paraId="25C747BF">
            <w:pPr>
              <w:pStyle w:val="240"/>
              <w:snapToGrid w:val="0"/>
              <w:jc w:val="center"/>
              <w:rPr>
                <w:rFonts w:hint="eastAsia" w:ascii="宋体" w:hAnsi="宋体"/>
                <w:sz w:val="18"/>
                <w:szCs w:val="18"/>
              </w:rPr>
            </w:pPr>
            <w:r>
              <w:rPr>
                <w:rFonts w:hint="eastAsia" w:ascii="宋体" w:hAnsi="宋体"/>
                <w:sz w:val="18"/>
                <w:szCs w:val="18"/>
              </w:rPr>
              <w:t>≤ 310</w:t>
            </w:r>
          </w:p>
        </w:tc>
      </w:tr>
      <w:tr w14:paraId="42735D02">
        <w:tblPrEx>
          <w:tblCellMar>
            <w:top w:w="0" w:type="dxa"/>
            <w:left w:w="108" w:type="dxa"/>
            <w:bottom w:w="0" w:type="dxa"/>
            <w:right w:w="108" w:type="dxa"/>
          </w:tblCellMar>
        </w:tblPrEx>
        <w:trPr>
          <w:trHeight w:val="340" w:hRule="atLeast"/>
          <w:jc w:val="center"/>
        </w:trPr>
        <w:tc>
          <w:tcPr>
            <w:tcW w:w="1341" w:type="pct"/>
            <w:vMerge w:val="continue"/>
            <w:tcBorders>
              <w:top w:val="nil"/>
              <w:left w:val="single" w:color="auto" w:sz="8" w:space="0"/>
              <w:bottom w:val="single" w:color="auto" w:sz="4" w:space="0"/>
              <w:right w:val="single" w:color="auto" w:sz="4" w:space="0"/>
            </w:tcBorders>
            <w:shd w:val="clear" w:color="auto" w:fill="auto"/>
            <w:vAlign w:val="center"/>
          </w:tcPr>
          <w:p w14:paraId="60EA6EAA">
            <w:pPr>
              <w:widowControl/>
              <w:snapToGrid w:val="0"/>
              <w:jc w:val="left"/>
              <w:rPr>
                <w:rFonts w:hint="eastAsia" w:ascii="宋体" w:hAnsi="宋体"/>
                <w:sz w:val="18"/>
                <w:szCs w:val="18"/>
              </w:rPr>
            </w:pPr>
          </w:p>
        </w:tc>
        <w:tc>
          <w:tcPr>
            <w:tcW w:w="726" w:type="pct"/>
            <w:tcBorders>
              <w:top w:val="single" w:color="auto" w:sz="4" w:space="0"/>
              <w:left w:val="nil"/>
              <w:bottom w:val="single" w:color="auto" w:sz="4" w:space="0"/>
              <w:right w:val="single" w:color="auto" w:sz="4" w:space="0"/>
            </w:tcBorders>
            <w:shd w:val="clear" w:color="auto" w:fill="auto"/>
            <w:vAlign w:val="center"/>
          </w:tcPr>
          <w:p w14:paraId="1CA46AA5">
            <w:pPr>
              <w:pStyle w:val="240"/>
              <w:snapToGrid w:val="0"/>
              <w:jc w:val="center"/>
              <w:rPr>
                <w:rFonts w:hint="eastAsia" w:ascii="宋体" w:hAnsi="宋体"/>
                <w:sz w:val="18"/>
                <w:szCs w:val="18"/>
              </w:rPr>
            </w:pPr>
            <w:r>
              <w:rPr>
                <w:rFonts w:hint="eastAsia" w:ascii="宋体" w:hAnsi="宋体"/>
                <w:sz w:val="18"/>
                <w:szCs w:val="18"/>
              </w:rPr>
              <w:t>二步法</w:t>
            </w:r>
          </w:p>
        </w:tc>
        <w:tc>
          <w:tcPr>
            <w:tcW w:w="1528" w:type="pct"/>
            <w:tcBorders>
              <w:top w:val="single" w:color="auto" w:sz="4" w:space="0"/>
              <w:left w:val="nil"/>
              <w:bottom w:val="single" w:color="auto" w:sz="4" w:space="0"/>
              <w:right w:val="single" w:color="auto" w:sz="8" w:space="0"/>
            </w:tcBorders>
            <w:shd w:val="clear" w:color="auto" w:fill="auto"/>
            <w:vAlign w:val="center"/>
          </w:tcPr>
          <w:p w14:paraId="6A9BEB38">
            <w:pPr>
              <w:pStyle w:val="240"/>
              <w:snapToGrid w:val="0"/>
              <w:jc w:val="center"/>
              <w:rPr>
                <w:rFonts w:hint="eastAsia" w:ascii="宋体" w:hAnsi="宋体"/>
                <w:sz w:val="18"/>
                <w:szCs w:val="18"/>
              </w:rPr>
            </w:pPr>
            <w:r>
              <w:rPr>
                <w:rFonts w:hint="eastAsia" w:ascii="宋体" w:hAnsi="宋体"/>
                <w:sz w:val="18"/>
                <w:szCs w:val="18"/>
              </w:rPr>
              <w:t>≤ 430</w:t>
            </w:r>
          </w:p>
        </w:tc>
        <w:tc>
          <w:tcPr>
            <w:tcW w:w="1403" w:type="pct"/>
            <w:tcBorders>
              <w:top w:val="single" w:color="auto" w:sz="4" w:space="0"/>
              <w:left w:val="nil"/>
              <w:bottom w:val="single" w:color="auto" w:sz="4" w:space="0"/>
              <w:right w:val="single" w:color="auto" w:sz="8" w:space="0"/>
            </w:tcBorders>
            <w:shd w:val="clear" w:color="auto" w:fill="auto"/>
            <w:vAlign w:val="center"/>
          </w:tcPr>
          <w:p w14:paraId="7A9BB4C8">
            <w:pPr>
              <w:pStyle w:val="240"/>
              <w:snapToGrid w:val="0"/>
              <w:jc w:val="center"/>
              <w:rPr>
                <w:rFonts w:hint="eastAsia" w:ascii="宋体" w:hAnsi="宋体"/>
                <w:sz w:val="18"/>
                <w:szCs w:val="18"/>
              </w:rPr>
            </w:pPr>
            <w:r>
              <w:rPr>
                <w:rFonts w:hint="eastAsia" w:ascii="宋体" w:hAnsi="宋体"/>
                <w:sz w:val="18"/>
                <w:szCs w:val="18"/>
              </w:rPr>
              <w:t>-</w:t>
            </w:r>
          </w:p>
        </w:tc>
      </w:tr>
      <w:tr w14:paraId="04EDA140">
        <w:tblPrEx>
          <w:tblCellMar>
            <w:top w:w="0" w:type="dxa"/>
            <w:left w:w="108" w:type="dxa"/>
            <w:bottom w:w="0" w:type="dxa"/>
            <w:right w:w="108" w:type="dxa"/>
          </w:tblCellMar>
        </w:tblPrEx>
        <w:trPr>
          <w:trHeight w:val="340" w:hRule="atLeast"/>
          <w:jc w:val="center"/>
        </w:trPr>
        <w:tc>
          <w:tcPr>
            <w:tcW w:w="2067" w:type="pct"/>
            <w:gridSpan w:val="2"/>
            <w:tcBorders>
              <w:top w:val="single" w:color="auto" w:sz="4" w:space="0"/>
              <w:left w:val="single" w:color="auto" w:sz="8" w:space="0"/>
              <w:bottom w:val="single" w:color="auto" w:sz="4" w:space="0"/>
              <w:right w:val="single" w:color="auto" w:sz="4" w:space="0"/>
            </w:tcBorders>
            <w:shd w:val="clear" w:color="auto" w:fill="auto"/>
            <w:vAlign w:val="center"/>
          </w:tcPr>
          <w:p w14:paraId="5EC3F569">
            <w:pPr>
              <w:pStyle w:val="240"/>
              <w:snapToGrid w:val="0"/>
              <w:jc w:val="center"/>
              <w:rPr>
                <w:rFonts w:hint="eastAsia" w:ascii="宋体" w:hAnsi="宋体"/>
                <w:sz w:val="18"/>
                <w:szCs w:val="18"/>
              </w:rPr>
            </w:pPr>
            <w:r>
              <w:rPr>
                <w:rFonts w:hint="eastAsia" w:ascii="宋体" w:hAnsi="宋体"/>
                <w:sz w:val="18"/>
                <w:szCs w:val="18"/>
              </w:rPr>
              <w:t>锦纶工业丝（dtex</w:t>
            </w:r>
            <w:r>
              <w:rPr>
                <w:rFonts w:ascii="宋体" w:hAnsi="宋体"/>
                <w:sz w:val="18"/>
                <w:szCs w:val="18"/>
              </w:rPr>
              <w:t xml:space="preserve"> </w:t>
            </w:r>
            <w:r>
              <w:rPr>
                <w:rFonts w:hint="eastAsia" w:ascii="宋体" w:hAnsi="宋体"/>
                <w:sz w:val="18"/>
                <w:szCs w:val="18"/>
              </w:rPr>
              <w:t>＞ 600）</w:t>
            </w:r>
          </w:p>
        </w:tc>
        <w:tc>
          <w:tcPr>
            <w:tcW w:w="1528" w:type="pct"/>
            <w:tcBorders>
              <w:top w:val="single" w:color="auto" w:sz="4" w:space="0"/>
              <w:left w:val="nil"/>
              <w:bottom w:val="single" w:color="auto" w:sz="4" w:space="0"/>
              <w:right w:val="single" w:color="auto" w:sz="8" w:space="0"/>
            </w:tcBorders>
            <w:shd w:val="clear" w:color="auto" w:fill="auto"/>
            <w:vAlign w:val="center"/>
          </w:tcPr>
          <w:p w14:paraId="1EAA9543">
            <w:pPr>
              <w:pStyle w:val="240"/>
              <w:snapToGrid w:val="0"/>
              <w:jc w:val="center"/>
              <w:rPr>
                <w:rFonts w:hint="eastAsia" w:ascii="宋体" w:hAnsi="宋体"/>
                <w:sz w:val="18"/>
                <w:szCs w:val="18"/>
              </w:rPr>
            </w:pPr>
            <w:r>
              <w:rPr>
                <w:rFonts w:hint="eastAsia" w:ascii="宋体" w:hAnsi="宋体"/>
                <w:sz w:val="18"/>
                <w:szCs w:val="18"/>
              </w:rPr>
              <w:t>≤ 275</w:t>
            </w:r>
          </w:p>
        </w:tc>
        <w:tc>
          <w:tcPr>
            <w:tcW w:w="1403" w:type="pct"/>
            <w:tcBorders>
              <w:top w:val="single" w:color="auto" w:sz="4" w:space="0"/>
              <w:left w:val="nil"/>
              <w:bottom w:val="single" w:color="auto" w:sz="4" w:space="0"/>
              <w:right w:val="single" w:color="auto" w:sz="8" w:space="0"/>
            </w:tcBorders>
            <w:shd w:val="clear" w:color="auto" w:fill="auto"/>
            <w:vAlign w:val="center"/>
          </w:tcPr>
          <w:p w14:paraId="112CF632">
            <w:pPr>
              <w:pStyle w:val="240"/>
              <w:snapToGrid w:val="0"/>
              <w:jc w:val="center"/>
              <w:rPr>
                <w:rFonts w:hint="eastAsia" w:ascii="宋体" w:hAnsi="宋体"/>
                <w:sz w:val="18"/>
                <w:szCs w:val="18"/>
              </w:rPr>
            </w:pPr>
            <w:r>
              <w:rPr>
                <w:rFonts w:hint="eastAsia" w:ascii="宋体" w:hAnsi="宋体"/>
                <w:sz w:val="18"/>
                <w:szCs w:val="18"/>
              </w:rPr>
              <w:t>≤ 235</w:t>
            </w:r>
          </w:p>
        </w:tc>
      </w:tr>
      <w:tr w14:paraId="2242C975">
        <w:tblPrEx>
          <w:tblCellMar>
            <w:top w:w="0" w:type="dxa"/>
            <w:left w:w="108" w:type="dxa"/>
            <w:bottom w:w="0" w:type="dxa"/>
            <w:right w:w="108" w:type="dxa"/>
          </w:tblCellMar>
        </w:tblPrEx>
        <w:trPr>
          <w:trHeight w:val="340" w:hRule="atLeast"/>
          <w:jc w:val="center"/>
        </w:trPr>
        <w:tc>
          <w:tcPr>
            <w:tcW w:w="5000" w:type="pct"/>
            <w:gridSpan w:val="4"/>
            <w:tcBorders>
              <w:top w:val="single" w:color="auto" w:sz="4" w:space="0"/>
              <w:left w:val="single" w:color="auto" w:sz="8" w:space="0"/>
              <w:bottom w:val="single" w:color="auto" w:sz="8" w:space="0"/>
              <w:right w:val="single" w:color="auto" w:sz="8" w:space="0"/>
            </w:tcBorders>
            <w:shd w:val="clear" w:color="auto" w:fill="auto"/>
            <w:vAlign w:val="center"/>
          </w:tcPr>
          <w:p w14:paraId="2B4FD9DC">
            <w:pPr>
              <w:pStyle w:val="183"/>
              <w:numPr>
                <w:ilvl w:val="0"/>
                <w:numId w:val="39"/>
              </w:numPr>
              <w:snapToGrid w:val="0"/>
            </w:pPr>
            <w:r>
              <w:rPr>
                <w:rFonts w:hint="eastAsia"/>
              </w:rPr>
              <w:t>适用于以牌号PA-6切片为原料锦纶丝生产企业。</w:t>
            </w:r>
          </w:p>
          <w:p w14:paraId="31659CF2">
            <w:pPr>
              <w:pStyle w:val="183"/>
              <w:snapToGrid w:val="0"/>
            </w:pPr>
            <w:r>
              <w:rPr>
                <w:rFonts w:hint="eastAsia"/>
              </w:rPr>
              <w:t>新水折标准煤系数采用0.0857</w:t>
            </w:r>
            <w:r>
              <w:t xml:space="preserve"> </w:t>
            </w:r>
            <w:r>
              <w:rPr>
                <w:rFonts w:hint="eastAsia"/>
              </w:rPr>
              <w:t>kgce/t</w:t>
            </w:r>
            <w:r>
              <w:rPr>
                <w:rFonts w:hint="eastAsia"/>
                <w:spacing w:val="20"/>
              </w:rPr>
              <w:t>。</w:t>
            </w:r>
          </w:p>
        </w:tc>
      </w:tr>
    </w:tbl>
    <w:p w14:paraId="7737434D">
      <w:pPr>
        <w:pStyle w:val="108"/>
        <w:spacing w:before="156" w:after="156"/>
      </w:pPr>
      <w:bookmarkStart w:id="449" w:name="_Toc482862491"/>
      <w:bookmarkEnd w:id="449"/>
      <w:bookmarkStart w:id="450" w:name="_Toc482862493"/>
      <w:bookmarkEnd w:id="450"/>
      <w:bookmarkStart w:id="451" w:name="_Toc496881052"/>
      <w:bookmarkStart w:id="452" w:name="_Toc496771315"/>
      <w:bookmarkStart w:id="453" w:name="_Toc14508"/>
      <w:bookmarkStart w:id="454" w:name="_Toc175690954"/>
      <w:bookmarkStart w:id="455" w:name="_Toc502760519"/>
      <w:bookmarkStart w:id="456" w:name="_Toc492372630"/>
      <w:bookmarkStart w:id="457" w:name="_Toc492372484"/>
      <w:bookmarkStart w:id="458" w:name="_Toc175504968"/>
      <w:bookmarkStart w:id="459" w:name="_Toc21039"/>
      <w:bookmarkStart w:id="460" w:name="_Toc26332"/>
      <w:r>
        <w:rPr>
          <w:rFonts w:hint="eastAsia"/>
        </w:rPr>
        <w:t>蒸压加气混凝土砌块</w:t>
      </w:r>
      <w:bookmarkEnd w:id="451"/>
      <w:bookmarkEnd w:id="452"/>
      <w:bookmarkEnd w:id="453"/>
      <w:bookmarkEnd w:id="454"/>
      <w:bookmarkEnd w:id="455"/>
      <w:bookmarkEnd w:id="456"/>
      <w:bookmarkEnd w:id="457"/>
      <w:bookmarkEnd w:id="458"/>
      <w:bookmarkEnd w:id="459"/>
      <w:bookmarkEnd w:id="460"/>
    </w:p>
    <w:p w14:paraId="1E1DCAD9">
      <w:pPr>
        <w:pStyle w:val="68"/>
        <w:spacing w:before="156" w:after="156"/>
      </w:pPr>
      <w:r>
        <w:rPr>
          <w:rFonts w:hint="eastAsia"/>
        </w:rPr>
        <w:t>适用对象</w:t>
      </w:r>
    </w:p>
    <w:p w14:paraId="77FBB3A1">
      <w:pPr>
        <w:pStyle w:val="59"/>
        <w:ind w:firstLine="420"/>
      </w:pPr>
      <w:r>
        <w:rPr>
          <w:rFonts w:hint="eastAsia"/>
        </w:rPr>
        <w:t>适用于蒸压加气混凝土砌块生产企业单位产品能耗的计算、考核和节能管理。蒸压加气混凝土板材生产企业可参考执行。</w:t>
      </w:r>
    </w:p>
    <w:p w14:paraId="0E272EAA">
      <w:pPr>
        <w:pStyle w:val="68"/>
        <w:spacing w:before="156" w:after="156"/>
      </w:pPr>
      <w:r>
        <w:rPr>
          <w:rFonts w:hint="eastAsia"/>
        </w:rPr>
        <w:t>蒸压加气混凝土砌块单位产品综合能耗限定值和准入值</w:t>
      </w:r>
    </w:p>
    <w:p w14:paraId="1035D6F3">
      <w:pPr>
        <w:pStyle w:val="59"/>
        <w:ind w:firstLine="420"/>
      </w:pPr>
      <w:r>
        <w:rPr>
          <w:rFonts w:hint="eastAsia"/>
        </w:rPr>
        <w:t>现有企业蒸压加气混凝土砌块单位产品综合能耗限定值，新建企业、现有企业改扩建项目蒸压加气混凝土砌块单位产品综合能耗准入值应符合表17的规定。</w:t>
      </w:r>
    </w:p>
    <w:p w14:paraId="7C83DBAD">
      <w:pPr>
        <w:pStyle w:val="115"/>
        <w:spacing w:before="156" w:after="156"/>
        <w:rPr>
          <w:rFonts w:hint="eastAsia" w:hAnsi="黑体"/>
        </w:rPr>
      </w:pPr>
      <w:r>
        <w:rPr>
          <w:rFonts w:hint="eastAsia"/>
        </w:rPr>
        <w:t>蒸压加气混凝土砌块单位产品综合能耗限定值和准入值</w:t>
      </w:r>
    </w:p>
    <w:tbl>
      <w:tblPr>
        <w:tblStyle w:val="28"/>
        <w:tblW w:w="936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508"/>
        <w:gridCol w:w="2703"/>
        <w:gridCol w:w="2158"/>
      </w:tblGrid>
      <w:tr w14:paraId="2DAAF0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4508" w:type="dxa"/>
            <w:vMerge w:val="restart"/>
            <w:tcBorders>
              <w:top w:val="single" w:color="auto" w:sz="8" w:space="0"/>
            </w:tcBorders>
            <w:shd w:val="clear" w:color="auto" w:fill="auto"/>
            <w:vAlign w:val="center"/>
          </w:tcPr>
          <w:p w14:paraId="698F6CEA">
            <w:pPr>
              <w:snapToGrid w:val="0"/>
              <w:spacing w:line="240" w:lineRule="auto"/>
              <w:jc w:val="center"/>
              <w:rPr>
                <w:rFonts w:hint="eastAsia" w:ascii="宋体" w:hAnsi="宋体"/>
                <w:sz w:val="18"/>
                <w:szCs w:val="18"/>
              </w:rPr>
            </w:pPr>
            <w:r>
              <w:rPr>
                <w:rFonts w:hint="eastAsia" w:ascii="宋体" w:hAnsi="宋体"/>
                <w:sz w:val="18"/>
                <w:szCs w:val="18"/>
              </w:rPr>
              <w:t>项目</w:t>
            </w:r>
          </w:p>
        </w:tc>
        <w:tc>
          <w:tcPr>
            <w:tcW w:w="4861" w:type="dxa"/>
            <w:gridSpan w:val="2"/>
            <w:tcBorders>
              <w:top w:val="single" w:color="auto" w:sz="8" w:space="0"/>
              <w:bottom w:val="single" w:color="auto" w:sz="8" w:space="0"/>
            </w:tcBorders>
            <w:shd w:val="clear" w:color="auto" w:fill="auto"/>
            <w:vAlign w:val="center"/>
          </w:tcPr>
          <w:p w14:paraId="3E522A98">
            <w:pPr>
              <w:snapToGrid w:val="0"/>
              <w:spacing w:line="240" w:lineRule="auto"/>
              <w:jc w:val="center"/>
              <w:rPr>
                <w:rFonts w:hint="eastAsia" w:ascii="宋体" w:hAnsi="宋体"/>
                <w:sz w:val="18"/>
                <w:szCs w:val="18"/>
              </w:rPr>
            </w:pPr>
            <w:r>
              <w:rPr>
                <w:rFonts w:hint="eastAsia" w:ascii="宋体" w:hAnsi="宋体"/>
                <w:sz w:val="18"/>
                <w:szCs w:val="18"/>
              </w:rPr>
              <w:t>单位产品综合能耗</w:t>
            </w:r>
          </w:p>
          <w:p w14:paraId="7138DE09">
            <w:pPr>
              <w:snapToGrid w:val="0"/>
              <w:spacing w:line="240" w:lineRule="auto"/>
              <w:jc w:val="center"/>
              <w:rPr>
                <w:rFonts w:hint="eastAsia" w:ascii="宋体" w:hAnsi="宋体"/>
                <w:sz w:val="18"/>
                <w:szCs w:val="18"/>
                <w:shd w:val="clear" w:color="auto" w:fill="FFFFFF"/>
              </w:rPr>
            </w:pPr>
            <w:r>
              <w:rPr>
                <w:rFonts w:hint="eastAsia" w:ascii="宋体" w:hAnsi="宋体"/>
                <w:sz w:val="18"/>
                <w:szCs w:val="18"/>
                <w:shd w:val="clear" w:color="auto" w:fill="FFFFFF"/>
              </w:rPr>
              <w:t>kgce/m</w:t>
            </w:r>
            <w:r>
              <w:rPr>
                <w:rFonts w:hint="eastAsia" w:ascii="宋体" w:hAnsi="宋体"/>
                <w:sz w:val="18"/>
                <w:szCs w:val="18"/>
                <w:shd w:val="clear" w:color="auto" w:fill="FFFFFF"/>
                <w:vertAlign w:val="superscript"/>
              </w:rPr>
              <w:t>3</w:t>
            </w:r>
          </w:p>
        </w:tc>
      </w:tr>
      <w:tr w14:paraId="297FFB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4508" w:type="dxa"/>
            <w:vMerge w:val="continue"/>
            <w:tcBorders>
              <w:bottom w:val="single" w:color="auto" w:sz="8" w:space="0"/>
            </w:tcBorders>
            <w:shd w:val="clear" w:color="auto" w:fill="auto"/>
            <w:vAlign w:val="center"/>
          </w:tcPr>
          <w:p w14:paraId="11E4300E">
            <w:pPr>
              <w:snapToGrid w:val="0"/>
              <w:spacing w:line="240" w:lineRule="auto"/>
              <w:jc w:val="center"/>
              <w:rPr>
                <w:rFonts w:hint="eastAsia" w:ascii="宋体" w:hAnsi="宋体"/>
                <w:sz w:val="18"/>
                <w:szCs w:val="18"/>
              </w:rPr>
            </w:pPr>
          </w:p>
        </w:tc>
        <w:tc>
          <w:tcPr>
            <w:tcW w:w="2703" w:type="dxa"/>
            <w:tcBorders>
              <w:top w:val="single" w:color="auto" w:sz="8" w:space="0"/>
              <w:bottom w:val="single" w:color="auto" w:sz="8" w:space="0"/>
            </w:tcBorders>
            <w:shd w:val="clear" w:color="auto" w:fill="auto"/>
            <w:vAlign w:val="center"/>
          </w:tcPr>
          <w:p w14:paraId="7A14452D">
            <w:pPr>
              <w:snapToGrid w:val="0"/>
              <w:spacing w:line="240" w:lineRule="auto"/>
              <w:jc w:val="center"/>
              <w:rPr>
                <w:rFonts w:hint="eastAsia" w:ascii="宋体" w:hAnsi="宋体"/>
                <w:sz w:val="18"/>
                <w:szCs w:val="18"/>
                <w:shd w:val="clear" w:color="auto" w:fill="FFFFFF"/>
              </w:rPr>
            </w:pPr>
            <w:r>
              <w:rPr>
                <w:rFonts w:hint="eastAsia" w:ascii="宋体" w:hAnsi="宋体"/>
                <w:sz w:val="18"/>
                <w:szCs w:val="18"/>
              </w:rPr>
              <w:t>限定值</w:t>
            </w:r>
          </w:p>
        </w:tc>
        <w:tc>
          <w:tcPr>
            <w:tcW w:w="2158" w:type="dxa"/>
            <w:tcBorders>
              <w:top w:val="single" w:color="auto" w:sz="8" w:space="0"/>
              <w:bottom w:val="single" w:color="auto" w:sz="8" w:space="0"/>
            </w:tcBorders>
            <w:shd w:val="clear" w:color="auto" w:fill="auto"/>
            <w:vAlign w:val="center"/>
          </w:tcPr>
          <w:p w14:paraId="76AEC31C">
            <w:pPr>
              <w:snapToGrid w:val="0"/>
              <w:spacing w:line="240" w:lineRule="auto"/>
              <w:jc w:val="center"/>
              <w:rPr>
                <w:rFonts w:hint="eastAsia" w:ascii="宋体" w:hAnsi="宋体"/>
                <w:sz w:val="18"/>
                <w:szCs w:val="18"/>
                <w:shd w:val="clear" w:color="auto" w:fill="FFFFFF"/>
              </w:rPr>
            </w:pPr>
            <w:r>
              <w:rPr>
                <w:rFonts w:hint="eastAsia" w:ascii="宋体" w:hAnsi="宋体"/>
                <w:sz w:val="18"/>
                <w:szCs w:val="18"/>
                <w:shd w:val="clear" w:color="auto" w:fill="FFFFFF"/>
              </w:rPr>
              <w:t>准入值</w:t>
            </w:r>
          </w:p>
        </w:tc>
      </w:tr>
      <w:tr w14:paraId="14116B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4508" w:type="dxa"/>
            <w:tcBorders>
              <w:top w:val="single" w:color="auto" w:sz="8" w:space="0"/>
            </w:tcBorders>
            <w:shd w:val="clear" w:color="auto" w:fill="auto"/>
            <w:vAlign w:val="center"/>
          </w:tcPr>
          <w:p w14:paraId="2DDDD1AE">
            <w:pPr>
              <w:snapToGrid w:val="0"/>
              <w:spacing w:line="240" w:lineRule="auto"/>
              <w:jc w:val="center"/>
              <w:rPr>
                <w:rFonts w:hint="eastAsia" w:ascii="宋体" w:hAnsi="宋体"/>
                <w:sz w:val="18"/>
                <w:szCs w:val="18"/>
              </w:rPr>
            </w:pPr>
            <w:r>
              <w:rPr>
                <w:rFonts w:hint="eastAsia" w:ascii="宋体" w:hAnsi="宋体"/>
                <w:sz w:val="18"/>
                <w:szCs w:val="18"/>
              </w:rPr>
              <w:t>蒸压加气混凝土砌块</w:t>
            </w:r>
          </w:p>
        </w:tc>
        <w:tc>
          <w:tcPr>
            <w:tcW w:w="2703" w:type="dxa"/>
            <w:tcBorders>
              <w:top w:val="single" w:color="auto" w:sz="8" w:space="0"/>
            </w:tcBorders>
            <w:shd w:val="clear" w:color="auto" w:fill="auto"/>
            <w:vAlign w:val="center"/>
          </w:tcPr>
          <w:p w14:paraId="31C1B975">
            <w:pPr>
              <w:snapToGrid w:val="0"/>
              <w:spacing w:line="240" w:lineRule="auto"/>
              <w:jc w:val="center"/>
              <w:rPr>
                <w:rFonts w:hint="eastAsia" w:ascii="宋体" w:hAnsi="宋体"/>
                <w:sz w:val="18"/>
                <w:szCs w:val="18"/>
              </w:rPr>
            </w:pPr>
            <w:r>
              <w:rPr>
                <w:rFonts w:hint="eastAsia" w:ascii="宋体" w:hAnsi="宋体"/>
                <w:sz w:val="18"/>
                <w:szCs w:val="18"/>
                <w:shd w:val="clear" w:color="auto" w:fill="FFFFFF"/>
              </w:rPr>
              <w:t>≤ 16.5</w:t>
            </w:r>
          </w:p>
        </w:tc>
        <w:tc>
          <w:tcPr>
            <w:tcW w:w="2158" w:type="dxa"/>
            <w:tcBorders>
              <w:top w:val="single" w:color="auto" w:sz="8" w:space="0"/>
            </w:tcBorders>
            <w:shd w:val="clear" w:color="auto" w:fill="auto"/>
            <w:vAlign w:val="center"/>
          </w:tcPr>
          <w:p w14:paraId="6FF48EA6">
            <w:pPr>
              <w:snapToGrid w:val="0"/>
              <w:spacing w:line="240" w:lineRule="auto"/>
              <w:jc w:val="center"/>
              <w:rPr>
                <w:rFonts w:hint="eastAsia" w:ascii="宋体" w:hAnsi="宋体"/>
                <w:sz w:val="18"/>
                <w:szCs w:val="18"/>
                <w:shd w:val="clear" w:color="auto" w:fill="FFFFFF"/>
              </w:rPr>
            </w:pPr>
            <w:r>
              <w:rPr>
                <w:rFonts w:hint="eastAsia" w:ascii="宋体" w:hAnsi="宋体"/>
                <w:sz w:val="18"/>
                <w:szCs w:val="18"/>
                <w:shd w:val="clear" w:color="auto" w:fill="FFFFFF"/>
              </w:rPr>
              <w:t>≤ 15</w:t>
            </w:r>
          </w:p>
        </w:tc>
      </w:tr>
      <w:tr w14:paraId="3ACFA0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9369" w:type="dxa"/>
            <w:gridSpan w:val="3"/>
            <w:shd w:val="clear" w:color="auto" w:fill="auto"/>
            <w:vAlign w:val="center"/>
          </w:tcPr>
          <w:p w14:paraId="7B5B5DCC">
            <w:pPr>
              <w:pStyle w:val="183"/>
              <w:numPr>
                <w:ilvl w:val="0"/>
                <w:numId w:val="40"/>
              </w:numPr>
              <w:snapToGrid w:val="0"/>
            </w:pPr>
            <w:r>
              <w:rPr>
                <w:rFonts w:hint="eastAsia"/>
                <w:shd w:val="clear" w:color="auto" w:fill="FFFFFF"/>
              </w:rPr>
              <w:t>单条生产线年生产规模超过30万立方米，限定值/准入值乘以修正系数1.2；</w:t>
            </w:r>
          </w:p>
          <w:p w14:paraId="7B2A5889">
            <w:pPr>
              <w:pStyle w:val="183"/>
              <w:numPr>
                <w:ilvl w:val="0"/>
                <w:numId w:val="40"/>
              </w:numPr>
              <w:snapToGrid w:val="0"/>
            </w:pPr>
            <w:r>
              <w:rPr>
                <w:rFonts w:hint="eastAsia"/>
                <w:shd w:val="clear" w:color="auto" w:fill="FFFFFF"/>
              </w:rPr>
              <w:t>采用砂质需粉磨原料生产的砌块，限定值/准入值乘以修正系数1.2；</w:t>
            </w:r>
          </w:p>
          <w:p w14:paraId="229382AC">
            <w:pPr>
              <w:pStyle w:val="183"/>
              <w:numPr>
                <w:ilvl w:val="0"/>
                <w:numId w:val="40"/>
              </w:numPr>
              <w:snapToGrid w:val="0"/>
            </w:pPr>
            <w:r>
              <w:rPr>
                <w:rFonts w:hint="eastAsia"/>
                <w:shd w:val="clear" w:color="auto" w:fill="FFFFFF"/>
              </w:rPr>
              <w:t>凡具备上述两种修正条件的企业，其单位产品能耗限定值/准入值累积修正；</w:t>
            </w:r>
          </w:p>
          <w:p w14:paraId="1008C08D">
            <w:pPr>
              <w:pStyle w:val="183"/>
              <w:numPr>
                <w:ilvl w:val="0"/>
                <w:numId w:val="40"/>
              </w:numPr>
              <w:snapToGrid w:val="0"/>
            </w:pPr>
            <w:r>
              <w:rPr>
                <w:rFonts w:hint="eastAsia"/>
              </w:rPr>
              <w:t>蒸汽</w:t>
            </w:r>
            <w:r>
              <w:t>折标准煤系数</w:t>
            </w:r>
            <w:r>
              <w:rPr>
                <w:rFonts w:hint="eastAsia"/>
              </w:rPr>
              <w:t>采用当量值。</w:t>
            </w:r>
          </w:p>
        </w:tc>
      </w:tr>
    </w:tbl>
    <w:p w14:paraId="4A45F4A7">
      <w:pPr>
        <w:pStyle w:val="108"/>
        <w:spacing w:before="156" w:after="156"/>
      </w:pPr>
      <w:bookmarkStart w:id="461" w:name="_Toc175504969"/>
      <w:bookmarkStart w:id="462" w:name="_Toc502760520"/>
      <w:bookmarkStart w:id="463" w:name="_Toc496881053"/>
      <w:bookmarkStart w:id="464" w:name="_Toc12098"/>
      <w:bookmarkStart w:id="465" w:name="_Toc496771316"/>
      <w:bookmarkStart w:id="466" w:name="_Toc175690955"/>
      <w:bookmarkStart w:id="467" w:name="_Toc27509"/>
      <w:bookmarkStart w:id="468" w:name="_Toc492372631"/>
      <w:bookmarkStart w:id="469" w:name="_Toc492372485"/>
      <w:bookmarkStart w:id="470" w:name="_Toc11660"/>
      <w:r>
        <w:rPr>
          <w:rFonts w:hint="eastAsia"/>
        </w:rPr>
        <w:t>矿渣粉</w:t>
      </w:r>
      <w:bookmarkEnd w:id="461"/>
      <w:bookmarkEnd w:id="462"/>
      <w:bookmarkEnd w:id="463"/>
      <w:bookmarkEnd w:id="464"/>
      <w:bookmarkEnd w:id="465"/>
      <w:bookmarkEnd w:id="466"/>
      <w:bookmarkEnd w:id="467"/>
      <w:bookmarkEnd w:id="468"/>
      <w:bookmarkEnd w:id="469"/>
      <w:bookmarkEnd w:id="470"/>
    </w:p>
    <w:p w14:paraId="78C79177">
      <w:pPr>
        <w:pStyle w:val="68"/>
        <w:spacing w:before="156" w:after="156"/>
      </w:pPr>
      <w:bookmarkStart w:id="471" w:name="_Toc482862496"/>
      <w:bookmarkEnd w:id="471"/>
      <w:r>
        <w:rPr>
          <w:rFonts w:hint="eastAsia"/>
        </w:rPr>
        <w:t>适用对象</w:t>
      </w:r>
    </w:p>
    <w:p w14:paraId="1B248A87">
      <w:pPr>
        <w:pStyle w:val="59"/>
        <w:ind w:firstLine="420"/>
      </w:pPr>
      <w:r>
        <w:rPr>
          <w:rFonts w:hint="eastAsia"/>
        </w:rPr>
        <w:t>适用于采用立磨工艺生产</w:t>
      </w:r>
      <w:r>
        <w:t>S95级矿渣粉企业</w:t>
      </w:r>
      <w:r>
        <w:rPr>
          <w:rFonts w:hint="eastAsia"/>
        </w:rPr>
        <w:t>单位产品</w:t>
      </w:r>
      <w:r>
        <w:t>能耗的计算、考核和评价。</w:t>
      </w:r>
    </w:p>
    <w:p w14:paraId="63E3201A">
      <w:pPr>
        <w:pStyle w:val="68"/>
        <w:spacing w:before="156" w:after="156"/>
      </w:pPr>
      <w:r>
        <w:rPr>
          <w:rFonts w:hint="eastAsia"/>
        </w:rPr>
        <w:t>矿渣粉单位产品综合能耗限定值和准入值</w:t>
      </w:r>
    </w:p>
    <w:p w14:paraId="1B537517">
      <w:pPr>
        <w:pStyle w:val="59"/>
        <w:ind w:firstLine="420"/>
      </w:pPr>
      <w:r>
        <w:rPr>
          <w:rFonts w:hint="eastAsia"/>
        </w:rPr>
        <w:t>现有企业矿渣粉单位产品综合能耗限定值，新建企业、现有企业改扩建项目矿渣粉单位产品综合能耗准入值应符合表18的规定。</w:t>
      </w:r>
    </w:p>
    <w:p w14:paraId="6BBFBF8E">
      <w:pPr>
        <w:pStyle w:val="115"/>
        <w:spacing w:before="156" w:after="156"/>
        <w:rPr>
          <w:rFonts w:hint="eastAsia" w:hAnsi="黑体"/>
        </w:rPr>
      </w:pPr>
      <w:r>
        <w:rPr>
          <w:rFonts w:hint="eastAsia"/>
        </w:rPr>
        <w:t>矿渣粉单位产品综合能耗限定值和准入值</w:t>
      </w:r>
    </w:p>
    <w:tbl>
      <w:tblPr>
        <w:tblStyle w:val="28"/>
        <w:tblW w:w="936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842"/>
        <w:gridCol w:w="1724"/>
        <w:gridCol w:w="1724"/>
        <w:gridCol w:w="2035"/>
        <w:gridCol w:w="2036"/>
      </w:tblGrid>
      <w:tr w14:paraId="7A8016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1842" w:type="dxa"/>
            <w:vMerge w:val="restart"/>
            <w:tcBorders>
              <w:top w:val="single" w:color="auto" w:sz="8" w:space="0"/>
            </w:tcBorders>
            <w:shd w:val="clear" w:color="auto" w:fill="auto"/>
            <w:vAlign w:val="center"/>
          </w:tcPr>
          <w:p w14:paraId="3624A060">
            <w:pPr>
              <w:spacing w:line="240" w:lineRule="auto"/>
              <w:jc w:val="center"/>
              <w:rPr>
                <w:rFonts w:hint="eastAsia" w:ascii="宋体" w:hAnsi="宋体"/>
                <w:sz w:val="18"/>
                <w:szCs w:val="18"/>
              </w:rPr>
            </w:pPr>
            <w:r>
              <w:rPr>
                <w:rFonts w:hint="eastAsia" w:ascii="宋体" w:hAnsi="宋体"/>
                <w:sz w:val="18"/>
                <w:szCs w:val="18"/>
              </w:rPr>
              <w:t>项目</w:t>
            </w:r>
          </w:p>
        </w:tc>
        <w:tc>
          <w:tcPr>
            <w:tcW w:w="3448" w:type="dxa"/>
            <w:gridSpan w:val="2"/>
            <w:tcBorders>
              <w:top w:val="single" w:color="auto" w:sz="8" w:space="0"/>
              <w:bottom w:val="single" w:color="auto" w:sz="8" w:space="0"/>
            </w:tcBorders>
            <w:shd w:val="clear" w:color="auto" w:fill="auto"/>
            <w:vAlign w:val="center"/>
          </w:tcPr>
          <w:p w14:paraId="36294B08">
            <w:pPr>
              <w:spacing w:line="240" w:lineRule="auto"/>
              <w:jc w:val="center"/>
              <w:rPr>
                <w:rFonts w:hint="eastAsia" w:ascii="宋体" w:hAnsi="宋体"/>
                <w:sz w:val="18"/>
                <w:szCs w:val="18"/>
              </w:rPr>
            </w:pPr>
            <w:r>
              <w:rPr>
                <w:rFonts w:hint="eastAsia" w:ascii="宋体" w:hAnsi="宋体"/>
                <w:sz w:val="18"/>
                <w:szCs w:val="18"/>
              </w:rPr>
              <w:t>单位产品综合能耗</w:t>
            </w:r>
          </w:p>
          <w:p w14:paraId="693048AC">
            <w:pPr>
              <w:spacing w:line="240" w:lineRule="auto"/>
              <w:jc w:val="center"/>
              <w:rPr>
                <w:rFonts w:hint="eastAsia" w:ascii="宋体" w:hAnsi="宋体"/>
                <w:sz w:val="18"/>
                <w:szCs w:val="18"/>
              </w:rPr>
            </w:pPr>
            <w:r>
              <w:rPr>
                <w:rFonts w:hint="eastAsia" w:ascii="宋体" w:hAnsi="宋体"/>
                <w:sz w:val="18"/>
                <w:szCs w:val="18"/>
                <w:shd w:val="clear" w:color="auto" w:fill="FFFFFF"/>
              </w:rPr>
              <w:t>kgce/t</w:t>
            </w:r>
          </w:p>
        </w:tc>
        <w:tc>
          <w:tcPr>
            <w:tcW w:w="4071" w:type="dxa"/>
            <w:gridSpan w:val="2"/>
            <w:tcBorders>
              <w:top w:val="single" w:color="auto" w:sz="8" w:space="0"/>
              <w:bottom w:val="single" w:color="auto" w:sz="8" w:space="0"/>
            </w:tcBorders>
            <w:shd w:val="clear" w:color="auto" w:fill="auto"/>
            <w:vAlign w:val="center"/>
          </w:tcPr>
          <w:p w14:paraId="7C60D55C">
            <w:pPr>
              <w:spacing w:line="240" w:lineRule="auto"/>
              <w:jc w:val="center"/>
              <w:rPr>
                <w:rFonts w:hint="eastAsia" w:ascii="宋体" w:hAnsi="宋体"/>
                <w:sz w:val="18"/>
                <w:szCs w:val="18"/>
                <w:shd w:val="clear" w:color="auto" w:fill="FFFFFF"/>
              </w:rPr>
            </w:pPr>
            <w:r>
              <w:rPr>
                <w:rFonts w:hint="eastAsia" w:ascii="宋体" w:hAnsi="宋体"/>
                <w:sz w:val="18"/>
                <w:szCs w:val="18"/>
              </w:rPr>
              <w:t>单位产品</w:t>
            </w:r>
            <w:r>
              <w:rPr>
                <w:rFonts w:hint="eastAsia" w:ascii="宋体" w:hAnsi="宋体"/>
                <w:sz w:val="18"/>
                <w:szCs w:val="18"/>
                <w:shd w:val="clear" w:color="auto" w:fill="FFFFFF"/>
              </w:rPr>
              <w:t>电耗</w:t>
            </w:r>
          </w:p>
          <w:p w14:paraId="29E61353">
            <w:pPr>
              <w:spacing w:line="240" w:lineRule="auto"/>
              <w:jc w:val="center"/>
              <w:rPr>
                <w:rFonts w:hint="eastAsia" w:ascii="宋体" w:hAnsi="宋体"/>
                <w:sz w:val="18"/>
                <w:szCs w:val="18"/>
              </w:rPr>
            </w:pPr>
            <w:r>
              <w:rPr>
                <w:rFonts w:hint="eastAsia" w:ascii="宋体" w:hAnsi="宋体"/>
                <w:sz w:val="18"/>
                <w:szCs w:val="18"/>
                <w:shd w:val="clear" w:color="auto" w:fill="FFFFFF"/>
              </w:rPr>
              <w:t>kW</w:t>
            </w:r>
            <w:r>
              <w:rPr>
                <w:sz w:val="18"/>
              </w:rPr>
              <w:t>·</w:t>
            </w:r>
            <w:r>
              <w:rPr>
                <w:rFonts w:hint="eastAsia" w:ascii="宋体" w:hAnsi="宋体"/>
                <w:sz w:val="18"/>
                <w:szCs w:val="18"/>
                <w:shd w:val="clear" w:color="auto" w:fill="FFFFFF"/>
              </w:rPr>
              <w:t>h/t</w:t>
            </w:r>
          </w:p>
        </w:tc>
      </w:tr>
      <w:tr w14:paraId="1E2FA8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1842" w:type="dxa"/>
            <w:vMerge w:val="continue"/>
            <w:tcBorders>
              <w:bottom w:val="single" w:color="auto" w:sz="8" w:space="0"/>
            </w:tcBorders>
            <w:shd w:val="clear" w:color="auto" w:fill="auto"/>
            <w:vAlign w:val="center"/>
          </w:tcPr>
          <w:p w14:paraId="1ED98081">
            <w:pPr>
              <w:spacing w:line="240" w:lineRule="auto"/>
              <w:jc w:val="center"/>
              <w:rPr>
                <w:rFonts w:hint="eastAsia" w:ascii="宋体" w:hAnsi="宋体"/>
                <w:sz w:val="18"/>
                <w:szCs w:val="18"/>
              </w:rPr>
            </w:pPr>
          </w:p>
        </w:tc>
        <w:tc>
          <w:tcPr>
            <w:tcW w:w="1724" w:type="dxa"/>
            <w:tcBorders>
              <w:top w:val="single" w:color="auto" w:sz="8" w:space="0"/>
              <w:bottom w:val="single" w:color="auto" w:sz="8" w:space="0"/>
            </w:tcBorders>
            <w:shd w:val="clear" w:color="auto" w:fill="auto"/>
            <w:vAlign w:val="center"/>
          </w:tcPr>
          <w:p w14:paraId="1923A1D1">
            <w:pPr>
              <w:spacing w:line="240" w:lineRule="auto"/>
              <w:jc w:val="center"/>
              <w:rPr>
                <w:rFonts w:hint="eastAsia" w:ascii="宋体" w:hAnsi="宋体"/>
                <w:sz w:val="18"/>
                <w:szCs w:val="18"/>
                <w:shd w:val="clear" w:color="auto" w:fill="FFFFFF"/>
              </w:rPr>
            </w:pPr>
            <w:r>
              <w:rPr>
                <w:rFonts w:hint="eastAsia" w:ascii="宋体" w:hAnsi="宋体"/>
                <w:sz w:val="18"/>
                <w:szCs w:val="18"/>
              </w:rPr>
              <w:t>限定值</w:t>
            </w:r>
          </w:p>
        </w:tc>
        <w:tc>
          <w:tcPr>
            <w:tcW w:w="1724" w:type="dxa"/>
            <w:tcBorders>
              <w:top w:val="single" w:color="auto" w:sz="8" w:space="0"/>
              <w:bottom w:val="single" w:color="auto" w:sz="8" w:space="0"/>
            </w:tcBorders>
            <w:shd w:val="clear" w:color="auto" w:fill="auto"/>
            <w:vAlign w:val="center"/>
          </w:tcPr>
          <w:p w14:paraId="0703974F">
            <w:pPr>
              <w:spacing w:line="240" w:lineRule="auto"/>
              <w:jc w:val="center"/>
              <w:rPr>
                <w:rFonts w:hint="eastAsia" w:ascii="宋体" w:hAnsi="宋体"/>
                <w:sz w:val="18"/>
                <w:szCs w:val="18"/>
                <w:shd w:val="clear" w:color="auto" w:fill="FFFFFF"/>
              </w:rPr>
            </w:pPr>
            <w:r>
              <w:rPr>
                <w:rFonts w:hint="eastAsia" w:ascii="宋体" w:hAnsi="宋体"/>
                <w:sz w:val="18"/>
                <w:szCs w:val="18"/>
                <w:shd w:val="clear" w:color="auto" w:fill="FFFFFF"/>
              </w:rPr>
              <w:t>准入值</w:t>
            </w:r>
          </w:p>
        </w:tc>
        <w:tc>
          <w:tcPr>
            <w:tcW w:w="2035" w:type="dxa"/>
            <w:tcBorders>
              <w:top w:val="single" w:color="auto" w:sz="8" w:space="0"/>
              <w:bottom w:val="single" w:color="auto" w:sz="8" w:space="0"/>
            </w:tcBorders>
            <w:shd w:val="clear" w:color="auto" w:fill="auto"/>
            <w:vAlign w:val="center"/>
          </w:tcPr>
          <w:p w14:paraId="2FD07702">
            <w:pPr>
              <w:spacing w:line="240" w:lineRule="auto"/>
              <w:jc w:val="center"/>
              <w:rPr>
                <w:rFonts w:hint="eastAsia" w:ascii="宋体" w:hAnsi="宋体"/>
                <w:sz w:val="18"/>
                <w:szCs w:val="18"/>
                <w:shd w:val="clear" w:color="auto" w:fill="FFFFFF"/>
              </w:rPr>
            </w:pPr>
            <w:r>
              <w:rPr>
                <w:rFonts w:hint="eastAsia" w:ascii="宋体" w:hAnsi="宋体"/>
                <w:sz w:val="18"/>
                <w:szCs w:val="18"/>
              </w:rPr>
              <w:t>限定值</w:t>
            </w:r>
          </w:p>
        </w:tc>
        <w:tc>
          <w:tcPr>
            <w:tcW w:w="2036" w:type="dxa"/>
            <w:tcBorders>
              <w:top w:val="single" w:color="auto" w:sz="8" w:space="0"/>
              <w:bottom w:val="single" w:color="auto" w:sz="8" w:space="0"/>
            </w:tcBorders>
            <w:shd w:val="clear" w:color="auto" w:fill="auto"/>
            <w:vAlign w:val="center"/>
          </w:tcPr>
          <w:p w14:paraId="6B72623D">
            <w:pPr>
              <w:spacing w:line="240" w:lineRule="auto"/>
              <w:jc w:val="center"/>
              <w:rPr>
                <w:rFonts w:hint="eastAsia" w:ascii="宋体" w:hAnsi="宋体"/>
                <w:sz w:val="18"/>
                <w:szCs w:val="18"/>
                <w:shd w:val="clear" w:color="auto" w:fill="FFFFFF"/>
              </w:rPr>
            </w:pPr>
            <w:r>
              <w:rPr>
                <w:rFonts w:hint="eastAsia" w:ascii="宋体" w:hAnsi="宋体"/>
                <w:sz w:val="18"/>
                <w:szCs w:val="18"/>
                <w:shd w:val="clear" w:color="auto" w:fill="FFFFFF"/>
              </w:rPr>
              <w:t>准入值</w:t>
            </w:r>
          </w:p>
        </w:tc>
      </w:tr>
      <w:tr w14:paraId="63E144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842" w:type="dxa"/>
            <w:tcBorders>
              <w:top w:val="single" w:color="auto" w:sz="8" w:space="0"/>
            </w:tcBorders>
            <w:shd w:val="clear" w:color="auto" w:fill="auto"/>
            <w:vAlign w:val="center"/>
          </w:tcPr>
          <w:p w14:paraId="2553EDD0">
            <w:pPr>
              <w:spacing w:line="240" w:lineRule="auto"/>
              <w:jc w:val="center"/>
              <w:rPr>
                <w:rFonts w:hint="eastAsia" w:ascii="宋体" w:hAnsi="宋体"/>
                <w:sz w:val="18"/>
                <w:szCs w:val="18"/>
              </w:rPr>
            </w:pPr>
            <w:r>
              <w:rPr>
                <w:rFonts w:hint="eastAsia" w:ascii="宋体" w:hAnsi="宋体"/>
                <w:sz w:val="18"/>
                <w:szCs w:val="18"/>
              </w:rPr>
              <w:t>矿渣粉</w:t>
            </w:r>
          </w:p>
        </w:tc>
        <w:tc>
          <w:tcPr>
            <w:tcW w:w="1724" w:type="dxa"/>
            <w:tcBorders>
              <w:top w:val="single" w:color="auto" w:sz="8" w:space="0"/>
            </w:tcBorders>
            <w:shd w:val="clear" w:color="auto" w:fill="auto"/>
            <w:vAlign w:val="center"/>
          </w:tcPr>
          <w:p w14:paraId="1FD71D21">
            <w:pPr>
              <w:spacing w:line="240" w:lineRule="auto"/>
              <w:jc w:val="center"/>
              <w:rPr>
                <w:rFonts w:hint="eastAsia" w:ascii="宋体" w:hAnsi="宋体"/>
                <w:sz w:val="18"/>
                <w:szCs w:val="18"/>
              </w:rPr>
            </w:pPr>
            <w:r>
              <w:rPr>
                <w:rFonts w:hint="eastAsia" w:ascii="宋体" w:hAnsi="宋体"/>
                <w:sz w:val="18"/>
                <w:szCs w:val="18"/>
                <w:shd w:val="clear" w:color="auto" w:fill="FFFFFF"/>
              </w:rPr>
              <w:t>≤ 23</w:t>
            </w:r>
          </w:p>
        </w:tc>
        <w:tc>
          <w:tcPr>
            <w:tcW w:w="1724" w:type="dxa"/>
            <w:tcBorders>
              <w:top w:val="single" w:color="auto" w:sz="8" w:space="0"/>
            </w:tcBorders>
            <w:shd w:val="clear" w:color="auto" w:fill="auto"/>
            <w:vAlign w:val="center"/>
          </w:tcPr>
          <w:p w14:paraId="1A85494A">
            <w:pPr>
              <w:spacing w:line="240" w:lineRule="auto"/>
              <w:jc w:val="center"/>
              <w:rPr>
                <w:rFonts w:hint="eastAsia" w:ascii="宋体" w:hAnsi="宋体"/>
                <w:sz w:val="18"/>
                <w:szCs w:val="18"/>
                <w:shd w:val="clear" w:color="auto" w:fill="FFFFFF"/>
              </w:rPr>
            </w:pPr>
            <w:r>
              <w:rPr>
                <w:rFonts w:hint="eastAsia" w:ascii="宋体" w:hAnsi="宋体"/>
                <w:sz w:val="18"/>
                <w:szCs w:val="18"/>
                <w:shd w:val="clear" w:color="auto" w:fill="FFFFFF"/>
              </w:rPr>
              <w:t>≤ 21</w:t>
            </w:r>
          </w:p>
        </w:tc>
        <w:tc>
          <w:tcPr>
            <w:tcW w:w="2035" w:type="dxa"/>
            <w:tcBorders>
              <w:top w:val="single" w:color="auto" w:sz="8" w:space="0"/>
            </w:tcBorders>
            <w:shd w:val="clear" w:color="auto" w:fill="auto"/>
            <w:vAlign w:val="center"/>
          </w:tcPr>
          <w:p w14:paraId="06596E9C">
            <w:pPr>
              <w:spacing w:line="240" w:lineRule="auto"/>
              <w:jc w:val="center"/>
              <w:rPr>
                <w:rFonts w:hint="eastAsia" w:ascii="宋体" w:hAnsi="宋体"/>
                <w:sz w:val="18"/>
                <w:szCs w:val="18"/>
              </w:rPr>
            </w:pPr>
            <w:r>
              <w:rPr>
                <w:rFonts w:hint="eastAsia" w:ascii="宋体" w:hAnsi="宋体"/>
                <w:sz w:val="18"/>
                <w:szCs w:val="18"/>
                <w:shd w:val="clear" w:color="auto" w:fill="FFFFFF"/>
              </w:rPr>
              <w:t>≤ 44</w:t>
            </w:r>
          </w:p>
        </w:tc>
        <w:tc>
          <w:tcPr>
            <w:tcW w:w="2036" w:type="dxa"/>
            <w:tcBorders>
              <w:top w:val="single" w:color="auto" w:sz="8" w:space="0"/>
            </w:tcBorders>
            <w:shd w:val="clear" w:color="auto" w:fill="auto"/>
            <w:vAlign w:val="center"/>
          </w:tcPr>
          <w:p w14:paraId="2FF4F82B">
            <w:pPr>
              <w:spacing w:line="240" w:lineRule="auto"/>
              <w:jc w:val="center"/>
              <w:rPr>
                <w:rFonts w:hint="eastAsia" w:ascii="宋体" w:hAnsi="宋体"/>
                <w:sz w:val="18"/>
                <w:szCs w:val="18"/>
                <w:shd w:val="clear" w:color="auto" w:fill="FFFFFF"/>
              </w:rPr>
            </w:pPr>
            <w:r>
              <w:rPr>
                <w:rFonts w:hint="eastAsia" w:ascii="宋体" w:hAnsi="宋体"/>
                <w:sz w:val="18"/>
                <w:szCs w:val="18"/>
                <w:shd w:val="clear" w:color="auto" w:fill="FFFFFF"/>
              </w:rPr>
              <w:t>≤ 42</w:t>
            </w:r>
          </w:p>
        </w:tc>
      </w:tr>
      <w:tr w14:paraId="43AAED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9361" w:type="dxa"/>
            <w:gridSpan w:val="5"/>
            <w:shd w:val="clear" w:color="auto" w:fill="auto"/>
            <w:vAlign w:val="center"/>
          </w:tcPr>
          <w:p w14:paraId="540E4CF3">
            <w:pPr>
              <w:pStyle w:val="182"/>
              <w:rPr>
                <w:shd w:val="clear" w:color="auto" w:fill="FFFFFF"/>
              </w:rPr>
            </w:pPr>
            <w:r>
              <w:rPr>
                <w:rFonts w:hint="eastAsia"/>
                <w:shd w:val="clear" w:color="auto" w:fill="FFFFFF"/>
              </w:rPr>
              <w:t>适用于S95级矿渣粉。</w:t>
            </w:r>
          </w:p>
        </w:tc>
      </w:tr>
    </w:tbl>
    <w:p w14:paraId="0F6CF92A">
      <w:pPr>
        <w:pStyle w:val="108"/>
        <w:spacing w:before="156" w:after="156"/>
      </w:pPr>
      <w:bookmarkStart w:id="472" w:name="_Toc483588214"/>
      <w:bookmarkStart w:id="473" w:name="_Toc27640"/>
      <w:bookmarkStart w:id="474" w:name="_Toc32405"/>
      <w:bookmarkStart w:id="475" w:name="_Toc175690956"/>
      <w:bookmarkStart w:id="476" w:name="_Toc502760521"/>
      <w:bookmarkStart w:id="477" w:name="_Toc492372632"/>
      <w:bookmarkStart w:id="478" w:name="_Toc483578721"/>
      <w:bookmarkStart w:id="479" w:name="_Toc483588750"/>
      <w:bookmarkStart w:id="480" w:name="_Toc496771317"/>
      <w:bookmarkStart w:id="481" w:name="_Toc19308"/>
      <w:bookmarkStart w:id="482" w:name="_Toc483398310"/>
      <w:bookmarkStart w:id="483" w:name="_Toc175504970"/>
      <w:bookmarkStart w:id="484" w:name="_Toc496881054"/>
      <w:bookmarkStart w:id="485" w:name="_Toc492372486"/>
      <w:r>
        <w:rPr>
          <w:rFonts w:hint="eastAsia"/>
        </w:rPr>
        <w:t>日用玻璃</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629F88A3">
      <w:pPr>
        <w:pStyle w:val="68"/>
        <w:spacing w:before="156" w:after="156"/>
      </w:pPr>
      <w:r>
        <w:rPr>
          <w:rFonts w:hint="eastAsia"/>
        </w:rPr>
        <w:t>适用对象</w:t>
      </w:r>
    </w:p>
    <w:p w14:paraId="1D49C0E4">
      <w:pPr>
        <w:pStyle w:val="59"/>
        <w:ind w:firstLine="420"/>
      </w:pPr>
      <w:r>
        <w:rPr>
          <w:rFonts w:hint="eastAsia"/>
        </w:rPr>
        <w:t>适用于以发生炉煤气、天然气、燃料油、电为能源供给的日用玻璃生产企业单位产品能耗的计算、考核与评价。</w:t>
      </w:r>
    </w:p>
    <w:p w14:paraId="31799EFB">
      <w:pPr>
        <w:pStyle w:val="68"/>
        <w:spacing w:before="156" w:after="156"/>
      </w:pPr>
      <w:r>
        <w:rPr>
          <w:rFonts w:hint="eastAsia"/>
        </w:rPr>
        <w:t>日用玻璃单位产品综合能耗限定值和准入值</w:t>
      </w:r>
    </w:p>
    <w:p w14:paraId="21D4C6D9">
      <w:pPr>
        <w:pStyle w:val="59"/>
        <w:ind w:firstLine="420"/>
      </w:pPr>
      <w:r>
        <w:rPr>
          <w:rFonts w:hint="eastAsia"/>
        </w:rPr>
        <w:t>现有企业日用玻璃单位产品综合能耗限定值，新建企业、现有企业改扩建项目日用玻璃单位产品综合能耗准入值应符合表19的规定。</w:t>
      </w:r>
    </w:p>
    <w:p w14:paraId="7ADD2721">
      <w:pPr>
        <w:pStyle w:val="115"/>
        <w:spacing w:before="156" w:after="156"/>
      </w:pPr>
      <w:r>
        <w:rPr>
          <w:rFonts w:hint="eastAsia"/>
        </w:rPr>
        <w:t>日用玻璃单位产品综合能耗限定值和准入值</w:t>
      </w:r>
    </w:p>
    <w:tbl>
      <w:tblPr>
        <w:tblStyle w:val="28"/>
        <w:tblW w:w="5000" w:type="pct"/>
        <w:jc w:val="center"/>
        <w:tblLayout w:type="autofit"/>
        <w:tblCellMar>
          <w:top w:w="0" w:type="dxa"/>
          <w:left w:w="108" w:type="dxa"/>
          <w:bottom w:w="0" w:type="dxa"/>
          <w:right w:w="108" w:type="dxa"/>
        </w:tblCellMar>
      </w:tblPr>
      <w:tblGrid>
        <w:gridCol w:w="1409"/>
        <w:gridCol w:w="714"/>
        <w:gridCol w:w="1156"/>
        <w:gridCol w:w="1790"/>
        <w:gridCol w:w="2216"/>
        <w:gridCol w:w="2285"/>
      </w:tblGrid>
      <w:tr w14:paraId="6BC2ADB5">
        <w:tblPrEx>
          <w:tblCellMar>
            <w:top w:w="0" w:type="dxa"/>
            <w:left w:w="108" w:type="dxa"/>
            <w:bottom w:w="0" w:type="dxa"/>
            <w:right w:w="108" w:type="dxa"/>
          </w:tblCellMar>
        </w:tblPrEx>
        <w:trPr>
          <w:trHeight w:val="312" w:hRule="atLeast"/>
          <w:jc w:val="center"/>
        </w:trPr>
        <w:tc>
          <w:tcPr>
            <w:tcW w:w="1713" w:type="pct"/>
            <w:gridSpan w:val="3"/>
            <w:tcBorders>
              <w:top w:val="single" w:color="auto" w:sz="8" w:space="0"/>
              <w:left w:val="single" w:color="auto" w:sz="8" w:space="0"/>
              <w:bottom w:val="single" w:color="auto" w:sz="4" w:space="0"/>
              <w:right w:val="single" w:color="auto" w:sz="4" w:space="0"/>
            </w:tcBorders>
            <w:shd w:val="clear" w:color="auto" w:fill="auto"/>
            <w:vAlign w:val="center"/>
          </w:tcPr>
          <w:p w14:paraId="113314F4">
            <w:pPr>
              <w:jc w:val="center"/>
              <w:rPr>
                <w:rFonts w:hint="eastAsia" w:ascii="宋体" w:hAnsi="宋体"/>
                <w:sz w:val="18"/>
                <w:szCs w:val="18"/>
              </w:rPr>
            </w:pPr>
            <w:r>
              <w:rPr>
                <w:rFonts w:hint="eastAsia" w:ascii="宋体" w:hAnsi="宋体"/>
                <w:sz w:val="18"/>
                <w:szCs w:val="18"/>
              </w:rPr>
              <w:t>产品种类</w:t>
            </w:r>
          </w:p>
        </w:tc>
        <w:tc>
          <w:tcPr>
            <w:tcW w:w="935" w:type="pct"/>
            <w:tcBorders>
              <w:top w:val="single" w:color="auto" w:sz="8" w:space="0"/>
              <w:left w:val="nil"/>
              <w:bottom w:val="single" w:color="auto" w:sz="4" w:space="0"/>
              <w:right w:val="single" w:color="auto" w:sz="4" w:space="0"/>
            </w:tcBorders>
            <w:shd w:val="clear" w:color="auto" w:fill="auto"/>
            <w:vAlign w:val="center"/>
          </w:tcPr>
          <w:p w14:paraId="6FB780C5">
            <w:pPr>
              <w:jc w:val="center"/>
              <w:rPr>
                <w:rFonts w:hint="eastAsia" w:ascii="宋体" w:hAnsi="宋体"/>
                <w:sz w:val="18"/>
                <w:szCs w:val="18"/>
              </w:rPr>
            </w:pPr>
            <w:r>
              <w:rPr>
                <w:rFonts w:hint="eastAsia" w:ascii="宋体" w:hAnsi="宋体"/>
                <w:sz w:val="18"/>
                <w:szCs w:val="18"/>
              </w:rPr>
              <w:t>能源品种</w:t>
            </w:r>
          </w:p>
        </w:tc>
        <w:tc>
          <w:tcPr>
            <w:tcW w:w="1158" w:type="pct"/>
            <w:tcBorders>
              <w:top w:val="single" w:color="auto" w:sz="8" w:space="0"/>
              <w:left w:val="nil"/>
              <w:right w:val="single" w:color="auto" w:sz="8" w:space="0"/>
            </w:tcBorders>
            <w:shd w:val="clear" w:color="auto" w:fill="auto"/>
          </w:tcPr>
          <w:p w14:paraId="6DD4053E">
            <w:pPr>
              <w:spacing w:line="240" w:lineRule="exact"/>
              <w:jc w:val="center"/>
              <w:rPr>
                <w:rFonts w:hint="eastAsia" w:ascii="宋体" w:hAnsi="宋体"/>
                <w:sz w:val="18"/>
                <w:szCs w:val="18"/>
              </w:rPr>
            </w:pPr>
            <w:r>
              <w:rPr>
                <w:rFonts w:hint="eastAsia" w:ascii="宋体" w:hAnsi="宋体"/>
                <w:sz w:val="18"/>
                <w:szCs w:val="18"/>
              </w:rPr>
              <w:t>单位产品综合能耗限定值</w:t>
            </w:r>
          </w:p>
          <w:p w14:paraId="79DA0924">
            <w:pPr>
              <w:spacing w:line="240" w:lineRule="exact"/>
              <w:jc w:val="center"/>
              <w:rPr>
                <w:rFonts w:hint="eastAsia" w:ascii="宋体" w:hAnsi="宋体"/>
                <w:sz w:val="18"/>
                <w:szCs w:val="18"/>
              </w:rPr>
            </w:pPr>
            <w:r>
              <w:rPr>
                <w:rFonts w:hint="eastAsia" w:ascii="宋体" w:hAnsi="宋体"/>
                <w:sz w:val="18"/>
                <w:szCs w:val="18"/>
                <w:shd w:val="clear" w:color="auto" w:fill="FFFFFF"/>
              </w:rPr>
              <w:t>kgce/t</w:t>
            </w:r>
          </w:p>
        </w:tc>
        <w:tc>
          <w:tcPr>
            <w:tcW w:w="1192" w:type="pct"/>
            <w:tcBorders>
              <w:top w:val="single" w:color="auto" w:sz="8" w:space="0"/>
              <w:left w:val="nil"/>
              <w:right w:val="single" w:color="auto" w:sz="8" w:space="0"/>
            </w:tcBorders>
            <w:shd w:val="clear" w:color="auto" w:fill="auto"/>
          </w:tcPr>
          <w:p w14:paraId="3C9DA064">
            <w:pPr>
              <w:spacing w:line="240" w:lineRule="exact"/>
              <w:jc w:val="center"/>
              <w:rPr>
                <w:rFonts w:hint="eastAsia" w:ascii="宋体" w:hAnsi="宋体"/>
                <w:sz w:val="18"/>
                <w:szCs w:val="18"/>
              </w:rPr>
            </w:pPr>
            <w:r>
              <w:rPr>
                <w:rFonts w:hint="eastAsia" w:ascii="宋体" w:hAnsi="宋体"/>
                <w:sz w:val="18"/>
                <w:szCs w:val="18"/>
              </w:rPr>
              <w:t>单位产品综合能耗准入值</w:t>
            </w:r>
          </w:p>
          <w:p w14:paraId="061EEEFA">
            <w:pPr>
              <w:spacing w:line="240" w:lineRule="exact"/>
              <w:jc w:val="center"/>
              <w:rPr>
                <w:rFonts w:hint="eastAsia" w:ascii="宋体" w:hAnsi="宋体"/>
                <w:sz w:val="18"/>
                <w:szCs w:val="18"/>
                <w:shd w:val="clear" w:color="auto" w:fill="FFFFFF"/>
              </w:rPr>
            </w:pPr>
            <w:r>
              <w:rPr>
                <w:rFonts w:hint="eastAsia" w:ascii="宋体" w:hAnsi="宋体"/>
                <w:sz w:val="18"/>
                <w:szCs w:val="18"/>
                <w:shd w:val="clear" w:color="auto" w:fill="FFFFFF"/>
              </w:rPr>
              <w:t>kgce/t</w:t>
            </w:r>
          </w:p>
        </w:tc>
      </w:tr>
      <w:tr w14:paraId="41B4828E">
        <w:tblPrEx>
          <w:tblCellMar>
            <w:top w:w="0" w:type="dxa"/>
            <w:left w:w="108" w:type="dxa"/>
            <w:bottom w:w="0" w:type="dxa"/>
            <w:right w:w="108" w:type="dxa"/>
          </w:tblCellMar>
        </w:tblPrEx>
        <w:trPr>
          <w:trHeight w:val="312" w:hRule="atLeast"/>
          <w:jc w:val="center"/>
        </w:trPr>
        <w:tc>
          <w:tcPr>
            <w:tcW w:w="736" w:type="pct"/>
            <w:vMerge w:val="restart"/>
            <w:tcBorders>
              <w:top w:val="nil"/>
              <w:left w:val="single" w:color="auto" w:sz="8" w:space="0"/>
              <w:bottom w:val="single" w:color="auto" w:sz="4" w:space="0"/>
              <w:right w:val="single" w:color="auto" w:sz="4" w:space="0"/>
            </w:tcBorders>
            <w:shd w:val="clear" w:color="auto" w:fill="auto"/>
            <w:vAlign w:val="center"/>
          </w:tcPr>
          <w:p w14:paraId="268EDE22">
            <w:pPr>
              <w:widowControl/>
              <w:jc w:val="left"/>
              <w:rPr>
                <w:rFonts w:hint="eastAsia" w:ascii="宋体" w:hAnsi="宋体"/>
                <w:sz w:val="18"/>
                <w:szCs w:val="18"/>
              </w:rPr>
            </w:pPr>
            <w:r>
              <w:rPr>
                <w:rFonts w:hint="eastAsia" w:ascii="宋体" w:hAnsi="宋体"/>
                <w:sz w:val="18"/>
                <w:szCs w:val="18"/>
              </w:rPr>
              <w:t>日用玻璃制品及玻璃包装容器</w:t>
            </w:r>
          </w:p>
        </w:tc>
        <w:tc>
          <w:tcPr>
            <w:tcW w:w="977" w:type="pct"/>
            <w:gridSpan w:val="2"/>
            <w:vMerge w:val="restart"/>
            <w:tcBorders>
              <w:top w:val="nil"/>
              <w:left w:val="nil"/>
              <w:bottom w:val="single" w:color="auto" w:sz="4" w:space="0"/>
              <w:right w:val="single" w:color="auto" w:sz="4" w:space="0"/>
            </w:tcBorders>
            <w:shd w:val="clear" w:color="auto" w:fill="auto"/>
            <w:vAlign w:val="center"/>
          </w:tcPr>
          <w:p w14:paraId="51EC8F0C">
            <w:pPr>
              <w:jc w:val="center"/>
              <w:rPr>
                <w:rFonts w:hint="eastAsia" w:ascii="宋体" w:hAnsi="宋体"/>
                <w:sz w:val="18"/>
                <w:szCs w:val="18"/>
              </w:rPr>
            </w:pPr>
            <w:r>
              <w:rPr>
                <w:rFonts w:hint="eastAsia" w:ascii="宋体" w:hAnsi="宋体"/>
                <w:sz w:val="18"/>
                <w:szCs w:val="18"/>
              </w:rPr>
              <w:t>玻璃瓶罐</w:t>
            </w:r>
          </w:p>
        </w:tc>
        <w:tc>
          <w:tcPr>
            <w:tcW w:w="935" w:type="pct"/>
            <w:tcBorders>
              <w:top w:val="single" w:color="auto" w:sz="4" w:space="0"/>
              <w:left w:val="nil"/>
              <w:bottom w:val="single" w:color="auto" w:sz="4" w:space="0"/>
              <w:right w:val="single" w:color="auto" w:sz="4" w:space="0"/>
            </w:tcBorders>
            <w:shd w:val="clear" w:color="auto" w:fill="auto"/>
            <w:vAlign w:val="center"/>
          </w:tcPr>
          <w:p w14:paraId="7B38B13F">
            <w:pPr>
              <w:rPr>
                <w:rFonts w:hint="eastAsia" w:ascii="宋体" w:hAnsi="宋体"/>
                <w:sz w:val="18"/>
                <w:szCs w:val="18"/>
              </w:rPr>
            </w:pPr>
            <w:r>
              <w:rPr>
                <w:rFonts w:hint="eastAsia" w:ascii="宋体" w:hAnsi="宋体"/>
                <w:sz w:val="18"/>
                <w:szCs w:val="18"/>
              </w:rPr>
              <w:t>燃料油、天然气</w:t>
            </w:r>
          </w:p>
        </w:tc>
        <w:tc>
          <w:tcPr>
            <w:tcW w:w="1158" w:type="pct"/>
            <w:tcBorders>
              <w:top w:val="single" w:color="auto" w:sz="4" w:space="0"/>
              <w:left w:val="nil"/>
              <w:bottom w:val="single" w:color="auto" w:sz="4" w:space="0"/>
              <w:right w:val="single" w:color="auto" w:sz="8" w:space="0"/>
            </w:tcBorders>
            <w:shd w:val="clear" w:color="auto" w:fill="auto"/>
            <w:vAlign w:val="center"/>
          </w:tcPr>
          <w:p w14:paraId="48F4C1AF">
            <w:pPr>
              <w:jc w:val="center"/>
              <w:rPr>
                <w:rFonts w:hint="eastAsia" w:ascii="宋体" w:hAnsi="宋体"/>
                <w:sz w:val="18"/>
                <w:szCs w:val="18"/>
              </w:rPr>
            </w:pPr>
            <w:r>
              <w:rPr>
                <w:rFonts w:hint="eastAsia" w:ascii="宋体" w:hAnsi="宋体"/>
                <w:sz w:val="18"/>
                <w:szCs w:val="18"/>
              </w:rPr>
              <w:t>≤320</w:t>
            </w:r>
          </w:p>
        </w:tc>
        <w:tc>
          <w:tcPr>
            <w:tcW w:w="1192" w:type="pct"/>
            <w:tcBorders>
              <w:top w:val="single" w:color="auto" w:sz="4" w:space="0"/>
              <w:left w:val="nil"/>
              <w:bottom w:val="single" w:color="auto" w:sz="4" w:space="0"/>
              <w:right w:val="single" w:color="auto" w:sz="8" w:space="0"/>
            </w:tcBorders>
            <w:shd w:val="clear" w:color="auto" w:fill="auto"/>
            <w:vAlign w:val="center"/>
          </w:tcPr>
          <w:p w14:paraId="70B743E4">
            <w:pPr>
              <w:spacing w:line="240" w:lineRule="exact"/>
              <w:jc w:val="center"/>
              <w:rPr>
                <w:rFonts w:hint="eastAsia" w:ascii="宋体" w:hAnsi="宋体"/>
                <w:sz w:val="18"/>
                <w:szCs w:val="18"/>
              </w:rPr>
            </w:pPr>
            <w:r>
              <w:rPr>
                <w:rFonts w:hint="eastAsia" w:ascii="宋体" w:hAnsi="宋体"/>
                <w:sz w:val="18"/>
                <w:szCs w:val="18"/>
              </w:rPr>
              <w:t>≤300</w:t>
            </w:r>
          </w:p>
        </w:tc>
      </w:tr>
      <w:tr w14:paraId="1CA001EC">
        <w:tblPrEx>
          <w:tblCellMar>
            <w:top w:w="0" w:type="dxa"/>
            <w:left w:w="108" w:type="dxa"/>
            <w:bottom w:w="0" w:type="dxa"/>
            <w:right w:w="108" w:type="dxa"/>
          </w:tblCellMar>
        </w:tblPrEx>
        <w:trPr>
          <w:trHeight w:val="312" w:hRule="atLeast"/>
          <w:jc w:val="center"/>
        </w:trPr>
        <w:tc>
          <w:tcPr>
            <w:tcW w:w="736" w:type="pct"/>
            <w:vMerge w:val="continue"/>
            <w:tcBorders>
              <w:top w:val="nil"/>
              <w:left w:val="single" w:color="auto" w:sz="8" w:space="0"/>
              <w:bottom w:val="single" w:color="auto" w:sz="4" w:space="0"/>
              <w:right w:val="single" w:color="auto" w:sz="4" w:space="0"/>
            </w:tcBorders>
            <w:shd w:val="clear" w:color="auto" w:fill="auto"/>
            <w:vAlign w:val="center"/>
          </w:tcPr>
          <w:p w14:paraId="45015DD3">
            <w:pPr>
              <w:widowControl/>
              <w:jc w:val="left"/>
              <w:rPr>
                <w:rFonts w:hint="eastAsia" w:ascii="宋体" w:hAnsi="宋体"/>
                <w:sz w:val="18"/>
                <w:szCs w:val="18"/>
              </w:rPr>
            </w:pPr>
          </w:p>
        </w:tc>
        <w:tc>
          <w:tcPr>
            <w:tcW w:w="977" w:type="pct"/>
            <w:gridSpan w:val="2"/>
            <w:vMerge w:val="continue"/>
            <w:tcBorders>
              <w:top w:val="nil"/>
              <w:left w:val="nil"/>
              <w:bottom w:val="single" w:color="auto" w:sz="4" w:space="0"/>
              <w:right w:val="single" w:color="auto" w:sz="4" w:space="0"/>
            </w:tcBorders>
            <w:shd w:val="clear" w:color="auto" w:fill="auto"/>
            <w:vAlign w:val="center"/>
          </w:tcPr>
          <w:p w14:paraId="60793221">
            <w:pPr>
              <w:widowControl/>
              <w:jc w:val="left"/>
              <w:rPr>
                <w:rFonts w:hint="eastAsia" w:ascii="宋体" w:hAnsi="宋体"/>
                <w:sz w:val="18"/>
                <w:szCs w:val="18"/>
              </w:rPr>
            </w:pPr>
          </w:p>
        </w:tc>
        <w:tc>
          <w:tcPr>
            <w:tcW w:w="935" w:type="pct"/>
            <w:tcBorders>
              <w:top w:val="single" w:color="auto" w:sz="4" w:space="0"/>
              <w:left w:val="nil"/>
              <w:bottom w:val="single" w:color="auto" w:sz="4" w:space="0"/>
              <w:right w:val="single" w:color="auto" w:sz="4" w:space="0"/>
            </w:tcBorders>
            <w:shd w:val="clear" w:color="auto" w:fill="auto"/>
            <w:vAlign w:val="center"/>
          </w:tcPr>
          <w:p w14:paraId="24850AF6">
            <w:pPr>
              <w:jc w:val="center"/>
              <w:rPr>
                <w:rFonts w:hint="eastAsia" w:ascii="宋体" w:hAnsi="宋体"/>
                <w:sz w:val="18"/>
                <w:szCs w:val="18"/>
              </w:rPr>
            </w:pPr>
            <w:r>
              <w:rPr>
                <w:rFonts w:hint="eastAsia" w:ascii="宋体" w:hAnsi="宋体"/>
                <w:kern w:val="0"/>
                <w:sz w:val="18"/>
                <w:szCs w:val="18"/>
              </w:rPr>
              <w:t>发生炉煤气</w:t>
            </w:r>
          </w:p>
        </w:tc>
        <w:tc>
          <w:tcPr>
            <w:tcW w:w="1158" w:type="pct"/>
            <w:tcBorders>
              <w:top w:val="single" w:color="auto" w:sz="4" w:space="0"/>
              <w:left w:val="nil"/>
              <w:bottom w:val="single" w:color="auto" w:sz="4" w:space="0"/>
              <w:right w:val="single" w:color="auto" w:sz="8" w:space="0"/>
            </w:tcBorders>
            <w:shd w:val="clear" w:color="auto" w:fill="auto"/>
            <w:vAlign w:val="center"/>
          </w:tcPr>
          <w:p w14:paraId="1F023338">
            <w:pPr>
              <w:jc w:val="center"/>
              <w:rPr>
                <w:rFonts w:hint="eastAsia" w:ascii="宋体" w:hAnsi="宋体"/>
                <w:sz w:val="18"/>
                <w:szCs w:val="18"/>
              </w:rPr>
            </w:pPr>
            <w:r>
              <w:rPr>
                <w:rFonts w:hint="eastAsia" w:ascii="宋体" w:hAnsi="宋体"/>
                <w:sz w:val="18"/>
                <w:szCs w:val="18"/>
              </w:rPr>
              <w:t>≤365</w:t>
            </w:r>
          </w:p>
        </w:tc>
        <w:tc>
          <w:tcPr>
            <w:tcW w:w="1192" w:type="pct"/>
            <w:tcBorders>
              <w:top w:val="single" w:color="auto" w:sz="4" w:space="0"/>
              <w:left w:val="nil"/>
              <w:bottom w:val="single" w:color="auto" w:sz="4" w:space="0"/>
              <w:right w:val="single" w:color="auto" w:sz="8" w:space="0"/>
            </w:tcBorders>
            <w:shd w:val="clear" w:color="auto" w:fill="auto"/>
            <w:vAlign w:val="center"/>
          </w:tcPr>
          <w:p w14:paraId="3273B97F">
            <w:pPr>
              <w:spacing w:line="240" w:lineRule="exact"/>
              <w:jc w:val="center"/>
              <w:rPr>
                <w:rFonts w:hint="eastAsia" w:ascii="宋体" w:hAnsi="宋体"/>
                <w:sz w:val="18"/>
                <w:szCs w:val="18"/>
              </w:rPr>
            </w:pPr>
            <w:r>
              <w:rPr>
                <w:rFonts w:hint="eastAsia" w:ascii="宋体" w:hAnsi="宋体"/>
                <w:sz w:val="18"/>
                <w:szCs w:val="18"/>
              </w:rPr>
              <w:t>≤350</w:t>
            </w:r>
          </w:p>
        </w:tc>
      </w:tr>
      <w:tr w14:paraId="41FB62CF">
        <w:tblPrEx>
          <w:tblCellMar>
            <w:top w:w="0" w:type="dxa"/>
            <w:left w:w="108" w:type="dxa"/>
            <w:bottom w:w="0" w:type="dxa"/>
            <w:right w:w="108" w:type="dxa"/>
          </w:tblCellMar>
        </w:tblPrEx>
        <w:trPr>
          <w:trHeight w:val="312" w:hRule="atLeast"/>
          <w:jc w:val="center"/>
        </w:trPr>
        <w:tc>
          <w:tcPr>
            <w:tcW w:w="736" w:type="pct"/>
            <w:vMerge w:val="continue"/>
            <w:tcBorders>
              <w:top w:val="nil"/>
              <w:left w:val="single" w:color="auto" w:sz="8" w:space="0"/>
              <w:bottom w:val="single" w:color="auto" w:sz="4" w:space="0"/>
              <w:right w:val="single" w:color="auto" w:sz="4" w:space="0"/>
            </w:tcBorders>
            <w:shd w:val="clear" w:color="auto" w:fill="auto"/>
            <w:vAlign w:val="center"/>
          </w:tcPr>
          <w:p w14:paraId="41768AD5">
            <w:pPr>
              <w:widowControl/>
              <w:jc w:val="left"/>
              <w:rPr>
                <w:rFonts w:hint="eastAsia" w:ascii="宋体" w:hAnsi="宋体"/>
                <w:sz w:val="18"/>
                <w:szCs w:val="18"/>
              </w:rPr>
            </w:pPr>
          </w:p>
        </w:tc>
        <w:tc>
          <w:tcPr>
            <w:tcW w:w="373" w:type="pct"/>
            <w:vMerge w:val="restart"/>
            <w:tcBorders>
              <w:top w:val="nil"/>
              <w:left w:val="nil"/>
              <w:bottom w:val="single" w:color="auto" w:sz="4" w:space="0"/>
              <w:right w:val="single" w:color="auto" w:sz="4" w:space="0"/>
            </w:tcBorders>
            <w:shd w:val="clear" w:color="auto" w:fill="auto"/>
            <w:vAlign w:val="center"/>
          </w:tcPr>
          <w:p w14:paraId="7BB8EDE2">
            <w:pPr>
              <w:jc w:val="center"/>
              <w:rPr>
                <w:rFonts w:hint="eastAsia" w:ascii="宋体" w:hAnsi="宋体"/>
                <w:sz w:val="18"/>
                <w:szCs w:val="18"/>
              </w:rPr>
            </w:pPr>
            <w:r>
              <w:rPr>
                <w:rFonts w:hint="eastAsia" w:ascii="宋体" w:hAnsi="宋体"/>
                <w:sz w:val="18"/>
                <w:szCs w:val="18"/>
              </w:rPr>
              <w:t>玻璃器皿</w:t>
            </w:r>
          </w:p>
        </w:tc>
        <w:tc>
          <w:tcPr>
            <w:tcW w:w="603" w:type="pct"/>
            <w:vMerge w:val="restart"/>
            <w:tcBorders>
              <w:top w:val="nil"/>
              <w:left w:val="nil"/>
              <w:bottom w:val="single" w:color="auto" w:sz="4" w:space="0"/>
              <w:right w:val="single" w:color="auto" w:sz="4" w:space="0"/>
            </w:tcBorders>
            <w:shd w:val="clear" w:color="auto" w:fill="auto"/>
            <w:vAlign w:val="center"/>
          </w:tcPr>
          <w:p w14:paraId="008AF583">
            <w:pPr>
              <w:jc w:val="center"/>
              <w:rPr>
                <w:rFonts w:hint="eastAsia" w:ascii="宋体" w:hAnsi="宋体"/>
                <w:sz w:val="18"/>
                <w:szCs w:val="18"/>
              </w:rPr>
            </w:pPr>
            <w:r>
              <w:rPr>
                <w:rFonts w:hint="eastAsia" w:ascii="宋体" w:hAnsi="宋体"/>
                <w:sz w:val="18"/>
                <w:szCs w:val="18"/>
              </w:rPr>
              <w:t>机压和压吹</w:t>
            </w:r>
          </w:p>
        </w:tc>
        <w:tc>
          <w:tcPr>
            <w:tcW w:w="935" w:type="pct"/>
            <w:tcBorders>
              <w:top w:val="single" w:color="auto" w:sz="4" w:space="0"/>
              <w:left w:val="nil"/>
              <w:bottom w:val="single" w:color="auto" w:sz="4" w:space="0"/>
              <w:right w:val="single" w:color="auto" w:sz="4" w:space="0"/>
            </w:tcBorders>
            <w:shd w:val="clear" w:color="auto" w:fill="auto"/>
            <w:vAlign w:val="center"/>
          </w:tcPr>
          <w:p w14:paraId="6DF9402F">
            <w:pPr>
              <w:jc w:val="center"/>
              <w:rPr>
                <w:rFonts w:hint="eastAsia" w:ascii="宋体" w:hAnsi="宋体"/>
                <w:sz w:val="18"/>
                <w:szCs w:val="18"/>
              </w:rPr>
            </w:pPr>
            <w:r>
              <w:rPr>
                <w:rFonts w:hint="eastAsia" w:ascii="宋体" w:hAnsi="宋体"/>
                <w:sz w:val="18"/>
                <w:szCs w:val="18"/>
              </w:rPr>
              <w:t>燃料油、天然气</w:t>
            </w:r>
          </w:p>
        </w:tc>
        <w:tc>
          <w:tcPr>
            <w:tcW w:w="1158" w:type="pct"/>
            <w:tcBorders>
              <w:top w:val="single" w:color="auto" w:sz="4" w:space="0"/>
              <w:left w:val="nil"/>
              <w:bottom w:val="single" w:color="auto" w:sz="4" w:space="0"/>
              <w:right w:val="single" w:color="auto" w:sz="8" w:space="0"/>
            </w:tcBorders>
            <w:shd w:val="clear" w:color="auto" w:fill="auto"/>
            <w:vAlign w:val="center"/>
          </w:tcPr>
          <w:p w14:paraId="0E20419E">
            <w:pPr>
              <w:pStyle w:val="231"/>
              <w:spacing w:before="156" w:after="156"/>
              <w:jc w:val="center"/>
              <w:rPr>
                <w:rFonts w:hint="eastAsia" w:hAnsi="宋体"/>
                <w:color w:val="auto"/>
                <w:sz w:val="18"/>
                <w:szCs w:val="18"/>
              </w:rPr>
            </w:pPr>
            <w:r>
              <w:rPr>
                <w:rFonts w:hAnsi="宋体"/>
                <w:color w:val="auto"/>
                <w:sz w:val="18"/>
                <w:szCs w:val="18"/>
              </w:rPr>
              <w:t>≤</w:t>
            </w:r>
            <w:r>
              <w:rPr>
                <w:rFonts w:hint="eastAsia" w:hAnsi="宋体"/>
                <w:color w:val="auto"/>
                <w:sz w:val="18"/>
                <w:szCs w:val="18"/>
              </w:rPr>
              <w:t>350</w:t>
            </w:r>
          </w:p>
        </w:tc>
        <w:tc>
          <w:tcPr>
            <w:tcW w:w="1192" w:type="pct"/>
            <w:tcBorders>
              <w:top w:val="single" w:color="auto" w:sz="4" w:space="0"/>
              <w:left w:val="nil"/>
              <w:bottom w:val="single" w:color="auto" w:sz="4" w:space="0"/>
              <w:right w:val="single" w:color="auto" w:sz="8" w:space="0"/>
            </w:tcBorders>
            <w:shd w:val="clear" w:color="auto" w:fill="auto"/>
            <w:vAlign w:val="center"/>
          </w:tcPr>
          <w:p w14:paraId="0681F0B1">
            <w:pPr>
              <w:pStyle w:val="231"/>
              <w:spacing w:before="156" w:after="156" w:line="240" w:lineRule="exact"/>
              <w:jc w:val="center"/>
              <w:rPr>
                <w:rFonts w:hint="eastAsia" w:hAnsi="宋体"/>
                <w:color w:val="auto"/>
                <w:sz w:val="18"/>
                <w:szCs w:val="18"/>
              </w:rPr>
            </w:pPr>
            <w:r>
              <w:rPr>
                <w:rFonts w:hAnsi="宋体"/>
                <w:color w:val="auto"/>
                <w:sz w:val="18"/>
                <w:szCs w:val="18"/>
              </w:rPr>
              <w:t>≤3</w:t>
            </w:r>
            <w:r>
              <w:rPr>
                <w:rFonts w:hint="eastAsia" w:hAnsi="宋体"/>
                <w:color w:val="auto"/>
                <w:sz w:val="18"/>
                <w:szCs w:val="18"/>
              </w:rPr>
              <w:t>38</w:t>
            </w:r>
          </w:p>
        </w:tc>
      </w:tr>
      <w:tr w14:paraId="0BD1F3E5">
        <w:tblPrEx>
          <w:tblCellMar>
            <w:top w:w="0" w:type="dxa"/>
            <w:left w:w="108" w:type="dxa"/>
            <w:bottom w:w="0" w:type="dxa"/>
            <w:right w:w="108" w:type="dxa"/>
          </w:tblCellMar>
        </w:tblPrEx>
        <w:trPr>
          <w:trHeight w:val="312" w:hRule="atLeast"/>
          <w:jc w:val="center"/>
        </w:trPr>
        <w:tc>
          <w:tcPr>
            <w:tcW w:w="736" w:type="pct"/>
            <w:vMerge w:val="continue"/>
            <w:tcBorders>
              <w:top w:val="nil"/>
              <w:left w:val="single" w:color="auto" w:sz="8" w:space="0"/>
              <w:bottom w:val="single" w:color="auto" w:sz="4" w:space="0"/>
              <w:right w:val="single" w:color="auto" w:sz="4" w:space="0"/>
            </w:tcBorders>
            <w:shd w:val="clear" w:color="auto" w:fill="auto"/>
            <w:vAlign w:val="center"/>
          </w:tcPr>
          <w:p w14:paraId="640A74FE">
            <w:pPr>
              <w:widowControl/>
              <w:jc w:val="left"/>
              <w:rPr>
                <w:rFonts w:hint="eastAsia" w:ascii="宋体" w:hAnsi="宋体"/>
                <w:sz w:val="18"/>
                <w:szCs w:val="18"/>
              </w:rPr>
            </w:pPr>
          </w:p>
        </w:tc>
        <w:tc>
          <w:tcPr>
            <w:tcW w:w="373" w:type="pct"/>
            <w:vMerge w:val="continue"/>
            <w:tcBorders>
              <w:top w:val="nil"/>
              <w:left w:val="nil"/>
              <w:bottom w:val="single" w:color="auto" w:sz="4" w:space="0"/>
              <w:right w:val="single" w:color="auto" w:sz="4" w:space="0"/>
            </w:tcBorders>
            <w:shd w:val="clear" w:color="auto" w:fill="auto"/>
            <w:vAlign w:val="center"/>
          </w:tcPr>
          <w:p w14:paraId="00370D4B">
            <w:pPr>
              <w:widowControl/>
              <w:jc w:val="left"/>
              <w:rPr>
                <w:rFonts w:hint="eastAsia" w:ascii="宋体" w:hAnsi="宋体"/>
                <w:sz w:val="18"/>
                <w:szCs w:val="18"/>
              </w:rPr>
            </w:pPr>
          </w:p>
        </w:tc>
        <w:tc>
          <w:tcPr>
            <w:tcW w:w="603" w:type="pct"/>
            <w:vMerge w:val="continue"/>
            <w:tcBorders>
              <w:top w:val="nil"/>
              <w:left w:val="nil"/>
              <w:bottom w:val="single" w:color="auto" w:sz="4" w:space="0"/>
              <w:right w:val="single" w:color="auto" w:sz="4" w:space="0"/>
            </w:tcBorders>
            <w:shd w:val="clear" w:color="auto" w:fill="auto"/>
            <w:vAlign w:val="center"/>
          </w:tcPr>
          <w:p w14:paraId="5B05A1A1">
            <w:pPr>
              <w:widowControl/>
              <w:jc w:val="left"/>
              <w:rPr>
                <w:rFonts w:hint="eastAsia" w:ascii="宋体" w:hAnsi="宋体"/>
                <w:sz w:val="18"/>
                <w:szCs w:val="18"/>
              </w:rPr>
            </w:pPr>
          </w:p>
        </w:tc>
        <w:tc>
          <w:tcPr>
            <w:tcW w:w="935" w:type="pct"/>
            <w:tcBorders>
              <w:top w:val="single" w:color="auto" w:sz="4" w:space="0"/>
              <w:left w:val="nil"/>
              <w:bottom w:val="single" w:color="auto" w:sz="4" w:space="0"/>
              <w:right w:val="single" w:color="auto" w:sz="4" w:space="0"/>
            </w:tcBorders>
            <w:shd w:val="clear" w:color="auto" w:fill="auto"/>
            <w:vAlign w:val="center"/>
          </w:tcPr>
          <w:p w14:paraId="02167DDA">
            <w:pPr>
              <w:jc w:val="center"/>
              <w:rPr>
                <w:rFonts w:hint="eastAsia" w:ascii="宋体" w:hAnsi="宋体"/>
                <w:sz w:val="18"/>
                <w:szCs w:val="18"/>
              </w:rPr>
            </w:pPr>
            <w:r>
              <w:rPr>
                <w:rFonts w:hint="eastAsia" w:ascii="宋体" w:hAnsi="宋体"/>
                <w:kern w:val="0"/>
                <w:sz w:val="18"/>
                <w:szCs w:val="18"/>
              </w:rPr>
              <w:t>发生炉煤气</w:t>
            </w:r>
          </w:p>
        </w:tc>
        <w:tc>
          <w:tcPr>
            <w:tcW w:w="1158" w:type="pct"/>
            <w:tcBorders>
              <w:top w:val="single" w:color="auto" w:sz="4" w:space="0"/>
              <w:left w:val="nil"/>
              <w:bottom w:val="single" w:color="auto" w:sz="4" w:space="0"/>
              <w:right w:val="single" w:color="auto" w:sz="8" w:space="0"/>
            </w:tcBorders>
            <w:shd w:val="clear" w:color="auto" w:fill="auto"/>
            <w:vAlign w:val="center"/>
          </w:tcPr>
          <w:p w14:paraId="33E6C653">
            <w:pPr>
              <w:pStyle w:val="231"/>
              <w:spacing w:before="156" w:after="156"/>
              <w:jc w:val="center"/>
              <w:rPr>
                <w:rFonts w:hint="eastAsia" w:hAnsi="宋体"/>
                <w:color w:val="auto"/>
                <w:sz w:val="18"/>
                <w:szCs w:val="18"/>
              </w:rPr>
            </w:pPr>
            <w:r>
              <w:rPr>
                <w:rFonts w:hAnsi="宋体"/>
                <w:color w:val="auto"/>
                <w:sz w:val="18"/>
                <w:szCs w:val="18"/>
              </w:rPr>
              <w:t>≤</w:t>
            </w:r>
            <w:r>
              <w:rPr>
                <w:rFonts w:hint="eastAsia" w:hAnsi="宋体"/>
                <w:color w:val="auto"/>
                <w:sz w:val="18"/>
                <w:szCs w:val="18"/>
              </w:rPr>
              <w:t>390</w:t>
            </w:r>
          </w:p>
        </w:tc>
        <w:tc>
          <w:tcPr>
            <w:tcW w:w="1192" w:type="pct"/>
            <w:tcBorders>
              <w:top w:val="single" w:color="auto" w:sz="4" w:space="0"/>
              <w:left w:val="nil"/>
              <w:bottom w:val="single" w:color="auto" w:sz="4" w:space="0"/>
              <w:right w:val="single" w:color="auto" w:sz="8" w:space="0"/>
            </w:tcBorders>
            <w:shd w:val="clear" w:color="auto" w:fill="auto"/>
            <w:vAlign w:val="center"/>
          </w:tcPr>
          <w:p w14:paraId="3753257D">
            <w:pPr>
              <w:spacing w:line="240" w:lineRule="exact"/>
              <w:jc w:val="center"/>
              <w:rPr>
                <w:rFonts w:hint="eastAsia" w:ascii="宋体" w:hAnsi="宋体"/>
                <w:sz w:val="18"/>
                <w:szCs w:val="18"/>
              </w:rPr>
            </w:pPr>
            <w:r>
              <w:rPr>
                <w:rFonts w:hint="eastAsia" w:ascii="宋体" w:hAnsi="宋体"/>
                <w:sz w:val="18"/>
                <w:szCs w:val="18"/>
              </w:rPr>
              <w:t>≤376</w:t>
            </w:r>
          </w:p>
        </w:tc>
      </w:tr>
      <w:tr w14:paraId="2C17F27F">
        <w:tblPrEx>
          <w:tblCellMar>
            <w:top w:w="0" w:type="dxa"/>
            <w:left w:w="108" w:type="dxa"/>
            <w:bottom w:w="0" w:type="dxa"/>
            <w:right w:w="108" w:type="dxa"/>
          </w:tblCellMar>
        </w:tblPrEx>
        <w:trPr>
          <w:trHeight w:val="312" w:hRule="atLeast"/>
          <w:jc w:val="center"/>
        </w:trPr>
        <w:tc>
          <w:tcPr>
            <w:tcW w:w="736" w:type="pct"/>
            <w:vMerge w:val="continue"/>
            <w:tcBorders>
              <w:top w:val="nil"/>
              <w:left w:val="single" w:color="auto" w:sz="8" w:space="0"/>
              <w:bottom w:val="single" w:color="auto" w:sz="4" w:space="0"/>
              <w:right w:val="single" w:color="auto" w:sz="4" w:space="0"/>
            </w:tcBorders>
            <w:shd w:val="clear" w:color="auto" w:fill="auto"/>
            <w:vAlign w:val="center"/>
          </w:tcPr>
          <w:p w14:paraId="1086569C">
            <w:pPr>
              <w:widowControl/>
              <w:jc w:val="left"/>
              <w:rPr>
                <w:rFonts w:hint="eastAsia" w:ascii="宋体" w:hAnsi="宋体"/>
                <w:sz w:val="18"/>
                <w:szCs w:val="18"/>
              </w:rPr>
            </w:pPr>
          </w:p>
        </w:tc>
        <w:tc>
          <w:tcPr>
            <w:tcW w:w="373" w:type="pct"/>
            <w:vMerge w:val="continue"/>
            <w:tcBorders>
              <w:top w:val="nil"/>
              <w:left w:val="nil"/>
              <w:bottom w:val="single" w:color="auto" w:sz="4" w:space="0"/>
              <w:right w:val="single" w:color="auto" w:sz="4" w:space="0"/>
            </w:tcBorders>
            <w:shd w:val="clear" w:color="auto" w:fill="auto"/>
            <w:vAlign w:val="center"/>
          </w:tcPr>
          <w:p w14:paraId="0CB55DEA">
            <w:pPr>
              <w:widowControl/>
              <w:jc w:val="left"/>
              <w:rPr>
                <w:rFonts w:hint="eastAsia" w:ascii="宋体" w:hAnsi="宋体"/>
                <w:sz w:val="18"/>
                <w:szCs w:val="18"/>
              </w:rPr>
            </w:pPr>
          </w:p>
        </w:tc>
        <w:tc>
          <w:tcPr>
            <w:tcW w:w="603" w:type="pct"/>
            <w:vMerge w:val="restart"/>
            <w:tcBorders>
              <w:top w:val="nil"/>
              <w:left w:val="nil"/>
              <w:bottom w:val="single" w:color="auto" w:sz="4" w:space="0"/>
              <w:right w:val="single" w:color="auto" w:sz="4" w:space="0"/>
            </w:tcBorders>
            <w:shd w:val="clear" w:color="auto" w:fill="auto"/>
            <w:vAlign w:val="center"/>
          </w:tcPr>
          <w:p w14:paraId="24E0992D">
            <w:pPr>
              <w:jc w:val="center"/>
              <w:rPr>
                <w:rFonts w:hint="eastAsia" w:ascii="宋体" w:hAnsi="宋体"/>
                <w:sz w:val="18"/>
                <w:szCs w:val="18"/>
              </w:rPr>
            </w:pPr>
            <w:r>
              <w:rPr>
                <w:rFonts w:hint="eastAsia" w:ascii="宋体" w:hAnsi="宋体"/>
                <w:sz w:val="18"/>
                <w:szCs w:val="18"/>
              </w:rPr>
              <w:t>吹制</w:t>
            </w:r>
          </w:p>
        </w:tc>
        <w:tc>
          <w:tcPr>
            <w:tcW w:w="935" w:type="pct"/>
            <w:tcBorders>
              <w:top w:val="single" w:color="auto" w:sz="4" w:space="0"/>
              <w:left w:val="nil"/>
              <w:bottom w:val="single" w:color="auto" w:sz="4" w:space="0"/>
              <w:right w:val="single" w:color="auto" w:sz="4" w:space="0"/>
            </w:tcBorders>
            <w:shd w:val="clear" w:color="auto" w:fill="auto"/>
            <w:vAlign w:val="center"/>
          </w:tcPr>
          <w:p w14:paraId="57610B8B">
            <w:pPr>
              <w:jc w:val="center"/>
              <w:rPr>
                <w:rFonts w:hint="eastAsia" w:ascii="宋体" w:hAnsi="宋体"/>
                <w:sz w:val="18"/>
                <w:szCs w:val="18"/>
              </w:rPr>
            </w:pPr>
            <w:r>
              <w:rPr>
                <w:rFonts w:hint="eastAsia" w:ascii="宋体" w:hAnsi="宋体"/>
                <w:sz w:val="18"/>
                <w:szCs w:val="18"/>
              </w:rPr>
              <w:t>燃料油、天然气</w:t>
            </w:r>
          </w:p>
        </w:tc>
        <w:tc>
          <w:tcPr>
            <w:tcW w:w="1158" w:type="pct"/>
            <w:tcBorders>
              <w:top w:val="single" w:color="auto" w:sz="4" w:space="0"/>
              <w:left w:val="nil"/>
              <w:bottom w:val="single" w:color="auto" w:sz="4" w:space="0"/>
              <w:right w:val="single" w:color="auto" w:sz="8" w:space="0"/>
            </w:tcBorders>
            <w:shd w:val="clear" w:color="auto" w:fill="auto"/>
            <w:vAlign w:val="center"/>
          </w:tcPr>
          <w:p w14:paraId="4104B62D">
            <w:pPr>
              <w:pStyle w:val="231"/>
              <w:spacing w:before="156" w:after="156"/>
              <w:jc w:val="center"/>
              <w:rPr>
                <w:rFonts w:hint="eastAsia" w:hAnsi="宋体"/>
                <w:color w:val="auto"/>
                <w:sz w:val="18"/>
                <w:szCs w:val="18"/>
              </w:rPr>
            </w:pPr>
            <w:r>
              <w:rPr>
                <w:rFonts w:hAnsi="宋体"/>
                <w:color w:val="auto"/>
                <w:sz w:val="18"/>
                <w:szCs w:val="18"/>
              </w:rPr>
              <w:t>≤</w:t>
            </w:r>
            <w:r>
              <w:rPr>
                <w:rFonts w:hint="eastAsia" w:hAnsi="宋体"/>
                <w:color w:val="auto"/>
                <w:sz w:val="18"/>
                <w:szCs w:val="18"/>
              </w:rPr>
              <w:t>420</w:t>
            </w:r>
          </w:p>
        </w:tc>
        <w:tc>
          <w:tcPr>
            <w:tcW w:w="1192" w:type="pct"/>
            <w:tcBorders>
              <w:top w:val="single" w:color="auto" w:sz="4" w:space="0"/>
              <w:left w:val="nil"/>
              <w:bottom w:val="single" w:color="auto" w:sz="4" w:space="0"/>
              <w:right w:val="single" w:color="auto" w:sz="8" w:space="0"/>
            </w:tcBorders>
            <w:shd w:val="clear" w:color="auto" w:fill="auto"/>
            <w:vAlign w:val="center"/>
          </w:tcPr>
          <w:p w14:paraId="6CCDBEA7">
            <w:pPr>
              <w:spacing w:line="240" w:lineRule="exact"/>
              <w:jc w:val="center"/>
              <w:rPr>
                <w:rFonts w:hint="eastAsia" w:ascii="宋体" w:hAnsi="宋体"/>
                <w:sz w:val="18"/>
                <w:szCs w:val="18"/>
              </w:rPr>
            </w:pPr>
            <w:r>
              <w:rPr>
                <w:rFonts w:hint="eastAsia" w:ascii="宋体" w:hAnsi="宋体"/>
                <w:sz w:val="18"/>
                <w:szCs w:val="18"/>
              </w:rPr>
              <w:t>≤405</w:t>
            </w:r>
          </w:p>
        </w:tc>
      </w:tr>
      <w:tr w14:paraId="4FE907EC">
        <w:tblPrEx>
          <w:tblCellMar>
            <w:top w:w="0" w:type="dxa"/>
            <w:left w:w="108" w:type="dxa"/>
            <w:bottom w:w="0" w:type="dxa"/>
            <w:right w:w="108" w:type="dxa"/>
          </w:tblCellMar>
        </w:tblPrEx>
        <w:trPr>
          <w:trHeight w:val="312" w:hRule="atLeast"/>
          <w:jc w:val="center"/>
        </w:trPr>
        <w:tc>
          <w:tcPr>
            <w:tcW w:w="736" w:type="pct"/>
            <w:vMerge w:val="continue"/>
            <w:tcBorders>
              <w:top w:val="nil"/>
              <w:left w:val="single" w:color="auto" w:sz="8" w:space="0"/>
              <w:bottom w:val="single" w:color="auto" w:sz="4" w:space="0"/>
              <w:right w:val="single" w:color="auto" w:sz="4" w:space="0"/>
            </w:tcBorders>
            <w:shd w:val="clear" w:color="auto" w:fill="auto"/>
            <w:vAlign w:val="center"/>
          </w:tcPr>
          <w:p w14:paraId="2DBEC648">
            <w:pPr>
              <w:widowControl/>
              <w:jc w:val="left"/>
              <w:rPr>
                <w:rFonts w:hint="eastAsia" w:ascii="宋体" w:hAnsi="宋体"/>
                <w:sz w:val="18"/>
                <w:szCs w:val="18"/>
              </w:rPr>
            </w:pPr>
          </w:p>
        </w:tc>
        <w:tc>
          <w:tcPr>
            <w:tcW w:w="373" w:type="pct"/>
            <w:vMerge w:val="continue"/>
            <w:tcBorders>
              <w:top w:val="nil"/>
              <w:left w:val="nil"/>
              <w:bottom w:val="single" w:color="auto" w:sz="4" w:space="0"/>
              <w:right w:val="single" w:color="auto" w:sz="4" w:space="0"/>
            </w:tcBorders>
            <w:shd w:val="clear" w:color="auto" w:fill="auto"/>
            <w:vAlign w:val="center"/>
          </w:tcPr>
          <w:p w14:paraId="0AC99153">
            <w:pPr>
              <w:widowControl/>
              <w:jc w:val="left"/>
              <w:rPr>
                <w:rFonts w:hint="eastAsia" w:ascii="宋体" w:hAnsi="宋体"/>
                <w:sz w:val="18"/>
                <w:szCs w:val="18"/>
              </w:rPr>
            </w:pPr>
          </w:p>
        </w:tc>
        <w:tc>
          <w:tcPr>
            <w:tcW w:w="603" w:type="pct"/>
            <w:vMerge w:val="continue"/>
            <w:tcBorders>
              <w:top w:val="nil"/>
              <w:left w:val="nil"/>
              <w:bottom w:val="single" w:color="auto" w:sz="4" w:space="0"/>
              <w:right w:val="single" w:color="auto" w:sz="4" w:space="0"/>
            </w:tcBorders>
            <w:shd w:val="clear" w:color="auto" w:fill="auto"/>
            <w:vAlign w:val="center"/>
          </w:tcPr>
          <w:p w14:paraId="71D8D678">
            <w:pPr>
              <w:widowControl/>
              <w:jc w:val="left"/>
              <w:rPr>
                <w:rFonts w:hint="eastAsia" w:ascii="宋体" w:hAnsi="宋体"/>
                <w:sz w:val="18"/>
                <w:szCs w:val="18"/>
              </w:rPr>
            </w:pPr>
          </w:p>
        </w:tc>
        <w:tc>
          <w:tcPr>
            <w:tcW w:w="935" w:type="pct"/>
            <w:tcBorders>
              <w:top w:val="single" w:color="auto" w:sz="4" w:space="0"/>
              <w:left w:val="nil"/>
              <w:bottom w:val="single" w:color="auto" w:sz="4" w:space="0"/>
              <w:right w:val="single" w:color="auto" w:sz="4" w:space="0"/>
            </w:tcBorders>
            <w:shd w:val="clear" w:color="auto" w:fill="auto"/>
            <w:vAlign w:val="center"/>
          </w:tcPr>
          <w:p w14:paraId="26A8B813">
            <w:pPr>
              <w:jc w:val="center"/>
              <w:rPr>
                <w:rFonts w:hint="eastAsia" w:ascii="宋体" w:hAnsi="宋体"/>
                <w:sz w:val="18"/>
                <w:szCs w:val="18"/>
              </w:rPr>
            </w:pPr>
            <w:r>
              <w:rPr>
                <w:rFonts w:hint="eastAsia" w:ascii="宋体" w:hAnsi="宋体"/>
                <w:kern w:val="0"/>
                <w:sz w:val="18"/>
                <w:szCs w:val="18"/>
              </w:rPr>
              <w:t>发生炉煤气</w:t>
            </w:r>
          </w:p>
        </w:tc>
        <w:tc>
          <w:tcPr>
            <w:tcW w:w="1158" w:type="pct"/>
            <w:tcBorders>
              <w:top w:val="single" w:color="auto" w:sz="4" w:space="0"/>
              <w:left w:val="nil"/>
              <w:bottom w:val="single" w:color="auto" w:sz="4" w:space="0"/>
              <w:right w:val="single" w:color="auto" w:sz="8" w:space="0"/>
            </w:tcBorders>
            <w:shd w:val="clear" w:color="auto" w:fill="auto"/>
            <w:vAlign w:val="center"/>
          </w:tcPr>
          <w:p w14:paraId="31AA7BC2">
            <w:pPr>
              <w:pStyle w:val="231"/>
              <w:spacing w:before="156" w:after="156"/>
              <w:jc w:val="center"/>
              <w:rPr>
                <w:rFonts w:hint="eastAsia" w:hAnsi="宋体"/>
                <w:color w:val="auto"/>
                <w:sz w:val="18"/>
                <w:szCs w:val="18"/>
              </w:rPr>
            </w:pPr>
            <w:r>
              <w:rPr>
                <w:rFonts w:hAnsi="宋体"/>
                <w:color w:val="auto"/>
                <w:sz w:val="18"/>
                <w:szCs w:val="18"/>
              </w:rPr>
              <w:t>≤</w:t>
            </w:r>
            <w:r>
              <w:rPr>
                <w:rFonts w:hint="eastAsia" w:hAnsi="宋体"/>
                <w:color w:val="auto"/>
                <w:sz w:val="18"/>
                <w:szCs w:val="18"/>
              </w:rPr>
              <w:t>470</w:t>
            </w:r>
          </w:p>
        </w:tc>
        <w:tc>
          <w:tcPr>
            <w:tcW w:w="1192" w:type="pct"/>
            <w:tcBorders>
              <w:top w:val="single" w:color="auto" w:sz="4" w:space="0"/>
              <w:left w:val="nil"/>
              <w:bottom w:val="single" w:color="auto" w:sz="4" w:space="0"/>
              <w:right w:val="single" w:color="auto" w:sz="8" w:space="0"/>
            </w:tcBorders>
            <w:shd w:val="clear" w:color="auto" w:fill="auto"/>
            <w:vAlign w:val="center"/>
          </w:tcPr>
          <w:p w14:paraId="745A868F">
            <w:pPr>
              <w:spacing w:line="240" w:lineRule="exact"/>
              <w:jc w:val="center"/>
              <w:rPr>
                <w:rFonts w:hint="eastAsia" w:ascii="宋体" w:hAnsi="宋体"/>
                <w:sz w:val="18"/>
                <w:szCs w:val="18"/>
              </w:rPr>
            </w:pPr>
            <w:r>
              <w:rPr>
                <w:rFonts w:hint="eastAsia" w:ascii="宋体" w:hAnsi="宋体"/>
                <w:sz w:val="18"/>
                <w:szCs w:val="18"/>
              </w:rPr>
              <w:t>≤454</w:t>
            </w:r>
          </w:p>
        </w:tc>
      </w:tr>
      <w:tr w14:paraId="3D1FEFE4">
        <w:tblPrEx>
          <w:tblCellMar>
            <w:top w:w="0" w:type="dxa"/>
            <w:left w:w="108" w:type="dxa"/>
            <w:bottom w:w="0" w:type="dxa"/>
            <w:right w:w="108" w:type="dxa"/>
          </w:tblCellMar>
        </w:tblPrEx>
        <w:trPr>
          <w:trHeight w:val="312" w:hRule="atLeast"/>
          <w:jc w:val="center"/>
        </w:trPr>
        <w:tc>
          <w:tcPr>
            <w:tcW w:w="1713" w:type="pct"/>
            <w:gridSpan w:val="3"/>
            <w:tcBorders>
              <w:top w:val="single" w:color="auto" w:sz="4" w:space="0"/>
              <w:left w:val="single" w:color="auto" w:sz="8" w:space="0"/>
              <w:bottom w:val="single" w:color="auto" w:sz="4" w:space="0"/>
              <w:right w:val="single" w:color="auto" w:sz="4" w:space="0"/>
            </w:tcBorders>
            <w:shd w:val="clear" w:color="auto" w:fill="auto"/>
            <w:vAlign w:val="center"/>
          </w:tcPr>
          <w:p w14:paraId="39E1B8D5">
            <w:pPr>
              <w:jc w:val="center"/>
              <w:rPr>
                <w:rFonts w:hint="eastAsia" w:ascii="宋体" w:hAnsi="宋体"/>
                <w:sz w:val="18"/>
                <w:szCs w:val="18"/>
              </w:rPr>
            </w:pPr>
            <w:r>
              <w:rPr>
                <w:rFonts w:hint="eastAsia" w:ascii="宋体" w:hAnsi="宋体"/>
                <w:sz w:val="18"/>
                <w:szCs w:val="18"/>
              </w:rPr>
              <w:t>玻璃保温容器（瓶胆）</w:t>
            </w:r>
          </w:p>
        </w:tc>
        <w:tc>
          <w:tcPr>
            <w:tcW w:w="935" w:type="pct"/>
            <w:tcBorders>
              <w:top w:val="single" w:color="auto" w:sz="4" w:space="0"/>
              <w:left w:val="nil"/>
              <w:bottom w:val="single" w:color="auto" w:sz="4" w:space="0"/>
              <w:right w:val="single" w:color="auto" w:sz="4" w:space="0"/>
            </w:tcBorders>
            <w:shd w:val="clear" w:color="auto" w:fill="auto"/>
            <w:vAlign w:val="center"/>
          </w:tcPr>
          <w:p w14:paraId="237CA3E3">
            <w:pPr>
              <w:jc w:val="center"/>
              <w:rPr>
                <w:rFonts w:hint="eastAsia" w:ascii="宋体" w:hAnsi="宋体"/>
                <w:sz w:val="18"/>
                <w:szCs w:val="18"/>
              </w:rPr>
            </w:pPr>
            <w:r>
              <w:rPr>
                <w:rFonts w:hint="eastAsia" w:ascii="宋体" w:hAnsi="宋体"/>
                <w:sz w:val="18"/>
                <w:szCs w:val="18"/>
              </w:rPr>
              <w:t>-</w:t>
            </w:r>
          </w:p>
        </w:tc>
        <w:tc>
          <w:tcPr>
            <w:tcW w:w="1158" w:type="pct"/>
            <w:tcBorders>
              <w:top w:val="single" w:color="auto" w:sz="4" w:space="0"/>
              <w:left w:val="nil"/>
              <w:bottom w:val="single" w:color="auto" w:sz="4" w:space="0"/>
              <w:right w:val="single" w:color="auto" w:sz="8" w:space="0"/>
            </w:tcBorders>
            <w:shd w:val="clear" w:color="auto" w:fill="auto"/>
          </w:tcPr>
          <w:p w14:paraId="7FA81381">
            <w:pPr>
              <w:jc w:val="center"/>
              <w:rPr>
                <w:rFonts w:hint="eastAsia" w:ascii="宋体" w:hAnsi="宋体"/>
                <w:sz w:val="18"/>
                <w:szCs w:val="18"/>
              </w:rPr>
            </w:pPr>
            <w:r>
              <w:rPr>
                <w:rFonts w:hint="eastAsia" w:ascii="宋体" w:hAnsi="宋体"/>
                <w:sz w:val="18"/>
                <w:szCs w:val="18"/>
              </w:rPr>
              <w:t>≤1000</w:t>
            </w:r>
          </w:p>
        </w:tc>
        <w:tc>
          <w:tcPr>
            <w:tcW w:w="1192" w:type="pct"/>
            <w:tcBorders>
              <w:top w:val="single" w:color="auto" w:sz="4" w:space="0"/>
              <w:left w:val="nil"/>
              <w:bottom w:val="single" w:color="auto" w:sz="4" w:space="0"/>
              <w:right w:val="single" w:color="auto" w:sz="8" w:space="0"/>
            </w:tcBorders>
            <w:shd w:val="clear" w:color="auto" w:fill="auto"/>
            <w:vAlign w:val="center"/>
          </w:tcPr>
          <w:p w14:paraId="6E01261C">
            <w:pPr>
              <w:pStyle w:val="231"/>
              <w:spacing w:before="156" w:after="156" w:line="240" w:lineRule="exact"/>
              <w:jc w:val="center"/>
              <w:rPr>
                <w:rFonts w:hint="eastAsia" w:hAnsi="宋体"/>
                <w:color w:val="auto"/>
                <w:sz w:val="18"/>
                <w:szCs w:val="18"/>
              </w:rPr>
            </w:pPr>
            <w:r>
              <w:rPr>
                <w:rFonts w:hAnsi="宋体"/>
                <w:color w:val="auto"/>
                <w:sz w:val="18"/>
                <w:szCs w:val="18"/>
              </w:rPr>
              <w:t>≤</w:t>
            </w:r>
            <w:r>
              <w:rPr>
                <w:rFonts w:hint="eastAsia" w:hAnsi="宋体"/>
                <w:color w:val="auto"/>
                <w:sz w:val="18"/>
                <w:szCs w:val="18"/>
              </w:rPr>
              <w:t>900</w:t>
            </w:r>
          </w:p>
        </w:tc>
      </w:tr>
      <w:tr w14:paraId="58B2329F">
        <w:tblPrEx>
          <w:tblCellMar>
            <w:top w:w="0" w:type="dxa"/>
            <w:left w:w="108" w:type="dxa"/>
            <w:bottom w:w="0" w:type="dxa"/>
            <w:right w:w="108" w:type="dxa"/>
          </w:tblCellMar>
        </w:tblPrEx>
        <w:trPr>
          <w:trHeight w:val="312" w:hRule="atLeast"/>
          <w:jc w:val="center"/>
        </w:trPr>
        <w:tc>
          <w:tcPr>
            <w:tcW w:w="736" w:type="pct"/>
            <w:vMerge w:val="restart"/>
            <w:tcBorders>
              <w:top w:val="single" w:color="auto" w:sz="4" w:space="0"/>
              <w:left w:val="single" w:color="auto" w:sz="8" w:space="0"/>
              <w:right w:val="single" w:color="auto" w:sz="4" w:space="0"/>
            </w:tcBorders>
            <w:shd w:val="clear" w:color="auto" w:fill="auto"/>
            <w:vAlign w:val="center"/>
          </w:tcPr>
          <w:p w14:paraId="0D42D114">
            <w:pPr>
              <w:jc w:val="center"/>
              <w:rPr>
                <w:rFonts w:hint="eastAsia" w:ascii="宋体" w:hAnsi="宋体"/>
                <w:sz w:val="18"/>
                <w:szCs w:val="18"/>
              </w:rPr>
            </w:pPr>
            <w:r>
              <w:rPr>
                <w:rFonts w:hint="eastAsia" w:ascii="宋体" w:hAnsi="宋体"/>
                <w:sz w:val="18"/>
                <w:szCs w:val="18"/>
              </w:rPr>
              <w:t>玻璃仪器制造</w:t>
            </w:r>
          </w:p>
        </w:tc>
        <w:tc>
          <w:tcPr>
            <w:tcW w:w="977" w:type="pct"/>
            <w:gridSpan w:val="2"/>
            <w:vMerge w:val="restart"/>
            <w:tcBorders>
              <w:top w:val="single" w:color="auto" w:sz="4" w:space="0"/>
              <w:left w:val="single" w:color="auto" w:sz="4" w:space="0"/>
              <w:right w:val="single" w:color="auto" w:sz="4" w:space="0"/>
            </w:tcBorders>
            <w:shd w:val="clear" w:color="auto" w:fill="auto"/>
            <w:vAlign w:val="center"/>
          </w:tcPr>
          <w:p w14:paraId="575B982C">
            <w:pPr>
              <w:jc w:val="center"/>
              <w:rPr>
                <w:rFonts w:hint="eastAsia" w:ascii="宋体" w:hAnsi="宋体"/>
                <w:sz w:val="18"/>
                <w:szCs w:val="18"/>
              </w:rPr>
            </w:pPr>
            <w:r>
              <w:rPr>
                <w:rFonts w:hint="eastAsia" w:ascii="宋体" w:hAnsi="宋体"/>
                <w:sz w:val="18"/>
                <w:szCs w:val="18"/>
              </w:rPr>
              <w:t>压、拉制</w:t>
            </w:r>
          </w:p>
        </w:tc>
        <w:tc>
          <w:tcPr>
            <w:tcW w:w="935" w:type="pct"/>
            <w:tcBorders>
              <w:top w:val="single" w:color="auto" w:sz="4" w:space="0"/>
              <w:left w:val="nil"/>
              <w:bottom w:val="single" w:color="auto" w:sz="4" w:space="0"/>
              <w:right w:val="single" w:color="auto" w:sz="4" w:space="0"/>
            </w:tcBorders>
            <w:shd w:val="clear" w:color="auto" w:fill="auto"/>
            <w:vAlign w:val="center"/>
          </w:tcPr>
          <w:p w14:paraId="6FE9BAC1">
            <w:pPr>
              <w:jc w:val="center"/>
              <w:rPr>
                <w:rFonts w:hint="eastAsia" w:ascii="宋体" w:hAnsi="宋体"/>
                <w:sz w:val="18"/>
                <w:szCs w:val="18"/>
              </w:rPr>
            </w:pPr>
            <w:r>
              <w:rPr>
                <w:rFonts w:hint="eastAsia" w:ascii="宋体" w:hAnsi="宋体"/>
                <w:sz w:val="18"/>
                <w:szCs w:val="18"/>
              </w:rPr>
              <w:t>电</w:t>
            </w:r>
          </w:p>
        </w:tc>
        <w:tc>
          <w:tcPr>
            <w:tcW w:w="1158" w:type="pct"/>
            <w:tcBorders>
              <w:top w:val="single" w:color="auto" w:sz="4" w:space="0"/>
              <w:left w:val="nil"/>
              <w:bottom w:val="single" w:color="auto" w:sz="4" w:space="0"/>
              <w:right w:val="single" w:color="auto" w:sz="8" w:space="0"/>
            </w:tcBorders>
            <w:shd w:val="clear" w:color="auto" w:fill="auto"/>
          </w:tcPr>
          <w:p w14:paraId="74AE7818">
            <w:pPr>
              <w:jc w:val="center"/>
              <w:rPr>
                <w:rFonts w:hint="eastAsia" w:ascii="宋体" w:hAnsi="宋体"/>
                <w:sz w:val="18"/>
                <w:szCs w:val="18"/>
              </w:rPr>
            </w:pPr>
            <w:r>
              <w:rPr>
                <w:rFonts w:ascii="宋体" w:hAnsi="宋体"/>
                <w:sz w:val="18"/>
                <w:szCs w:val="18"/>
              </w:rPr>
              <w:t>≤</w:t>
            </w:r>
            <w:r>
              <w:rPr>
                <w:rFonts w:hint="eastAsia" w:ascii="宋体" w:hAnsi="宋体"/>
                <w:sz w:val="18"/>
                <w:szCs w:val="18"/>
              </w:rPr>
              <w:t>650</w:t>
            </w:r>
          </w:p>
        </w:tc>
        <w:tc>
          <w:tcPr>
            <w:tcW w:w="1192" w:type="pct"/>
            <w:tcBorders>
              <w:top w:val="single" w:color="auto" w:sz="4" w:space="0"/>
              <w:left w:val="nil"/>
              <w:bottom w:val="single" w:color="auto" w:sz="4" w:space="0"/>
              <w:right w:val="single" w:color="auto" w:sz="8" w:space="0"/>
            </w:tcBorders>
            <w:shd w:val="clear" w:color="auto" w:fill="auto"/>
          </w:tcPr>
          <w:p w14:paraId="644225D4">
            <w:pPr>
              <w:spacing w:line="240" w:lineRule="exact"/>
              <w:jc w:val="center"/>
              <w:rPr>
                <w:rFonts w:hint="eastAsia" w:ascii="宋体" w:hAnsi="宋体"/>
                <w:sz w:val="18"/>
                <w:szCs w:val="18"/>
              </w:rPr>
            </w:pPr>
            <w:r>
              <w:rPr>
                <w:rFonts w:ascii="宋体" w:hAnsi="宋体"/>
                <w:sz w:val="18"/>
                <w:szCs w:val="18"/>
              </w:rPr>
              <w:t>≤</w:t>
            </w:r>
            <w:r>
              <w:rPr>
                <w:rFonts w:hint="eastAsia" w:ascii="宋体" w:hAnsi="宋体"/>
                <w:sz w:val="18"/>
                <w:szCs w:val="18"/>
              </w:rPr>
              <w:t>620</w:t>
            </w:r>
          </w:p>
        </w:tc>
      </w:tr>
      <w:tr w14:paraId="587EAC2B">
        <w:tblPrEx>
          <w:tblCellMar>
            <w:top w:w="0" w:type="dxa"/>
            <w:left w:w="108" w:type="dxa"/>
            <w:bottom w:w="0" w:type="dxa"/>
            <w:right w:w="108" w:type="dxa"/>
          </w:tblCellMar>
        </w:tblPrEx>
        <w:trPr>
          <w:trHeight w:val="312" w:hRule="atLeast"/>
          <w:jc w:val="center"/>
        </w:trPr>
        <w:tc>
          <w:tcPr>
            <w:tcW w:w="736" w:type="pct"/>
            <w:vMerge w:val="continue"/>
            <w:tcBorders>
              <w:left w:val="single" w:color="auto" w:sz="8" w:space="0"/>
              <w:right w:val="single" w:color="auto" w:sz="4" w:space="0"/>
            </w:tcBorders>
            <w:shd w:val="clear" w:color="auto" w:fill="auto"/>
            <w:vAlign w:val="center"/>
          </w:tcPr>
          <w:p w14:paraId="474CDA39">
            <w:pPr>
              <w:jc w:val="center"/>
              <w:rPr>
                <w:rFonts w:hint="eastAsia" w:ascii="宋体" w:hAnsi="宋体"/>
                <w:sz w:val="18"/>
                <w:szCs w:val="18"/>
              </w:rPr>
            </w:pPr>
          </w:p>
        </w:tc>
        <w:tc>
          <w:tcPr>
            <w:tcW w:w="977" w:type="pct"/>
            <w:gridSpan w:val="2"/>
            <w:vMerge w:val="continue"/>
            <w:tcBorders>
              <w:left w:val="single" w:color="auto" w:sz="4" w:space="0"/>
              <w:bottom w:val="single" w:color="auto" w:sz="4" w:space="0"/>
              <w:right w:val="single" w:color="auto" w:sz="4" w:space="0"/>
            </w:tcBorders>
            <w:shd w:val="clear" w:color="auto" w:fill="auto"/>
            <w:vAlign w:val="center"/>
          </w:tcPr>
          <w:p w14:paraId="6A5C9C17">
            <w:pPr>
              <w:jc w:val="center"/>
              <w:rPr>
                <w:rFonts w:hint="eastAsia" w:ascii="宋体" w:hAnsi="宋体"/>
                <w:sz w:val="18"/>
                <w:szCs w:val="18"/>
              </w:rPr>
            </w:pPr>
          </w:p>
        </w:tc>
        <w:tc>
          <w:tcPr>
            <w:tcW w:w="935" w:type="pct"/>
            <w:tcBorders>
              <w:top w:val="single" w:color="auto" w:sz="4" w:space="0"/>
              <w:left w:val="nil"/>
              <w:bottom w:val="single" w:color="auto" w:sz="4" w:space="0"/>
              <w:right w:val="single" w:color="auto" w:sz="4" w:space="0"/>
            </w:tcBorders>
            <w:shd w:val="clear" w:color="auto" w:fill="auto"/>
            <w:vAlign w:val="center"/>
          </w:tcPr>
          <w:p w14:paraId="7DDD00F5">
            <w:pPr>
              <w:jc w:val="center"/>
              <w:rPr>
                <w:rFonts w:hint="eastAsia" w:ascii="宋体" w:hAnsi="宋体"/>
                <w:sz w:val="18"/>
                <w:szCs w:val="18"/>
              </w:rPr>
            </w:pPr>
            <w:r>
              <w:rPr>
                <w:rFonts w:hint="eastAsia" w:ascii="宋体" w:hAnsi="宋体"/>
                <w:sz w:val="18"/>
                <w:szCs w:val="18"/>
              </w:rPr>
              <w:t>燃料油、天然气</w:t>
            </w:r>
          </w:p>
        </w:tc>
        <w:tc>
          <w:tcPr>
            <w:tcW w:w="1158" w:type="pct"/>
            <w:tcBorders>
              <w:top w:val="single" w:color="auto" w:sz="4" w:space="0"/>
              <w:left w:val="nil"/>
              <w:bottom w:val="single" w:color="auto" w:sz="4" w:space="0"/>
              <w:right w:val="single" w:color="auto" w:sz="8" w:space="0"/>
            </w:tcBorders>
            <w:shd w:val="clear" w:color="auto" w:fill="auto"/>
          </w:tcPr>
          <w:p w14:paraId="227AB8B5">
            <w:pPr>
              <w:jc w:val="center"/>
              <w:rPr>
                <w:rFonts w:hint="eastAsia" w:ascii="宋体" w:hAnsi="宋体"/>
                <w:sz w:val="18"/>
                <w:szCs w:val="18"/>
              </w:rPr>
            </w:pPr>
            <w:r>
              <w:rPr>
                <w:rFonts w:ascii="宋体" w:hAnsi="宋体"/>
                <w:sz w:val="18"/>
                <w:szCs w:val="18"/>
              </w:rPr>
              <w:t>≤</w:t>
            </w:r>
            <w:r>
              <w:rPr>
                <w:rFonts w:hint="eastAsia" w:ascii="宋体" w:hAnsi="宋体"/>
                <w:sz w:val="18"/>
                <w:szCs w:val="18"/>
              </w:rPr>
              <w:t>720</w:t>
            </w:r>
          </w:p>
        </w:tc>
        <w:tc>
          <w:tcPr>
            <w:tcW w:w="1192" w:type="pct"/>
            <w:tcBorders>
              <w:top w:val="single" w:color="auto" w:sz="4" w:space="0"/>
              <w:left w:val="nil"/>
              <w:bottom w:val="single" w:color="auto" w:sz="4" w:space="0"/>
              <w:right w:val="single" w:color="auto" w:sz="8" w:space="0"/>
            </w:tcBorders>
            <w:shd w:val="clear" w:color="auto" w:fill="auto"/>
          </w:tcPr>
          <w:p w14:paraId="590CBB6A">
            <w:pPr>
              <w:pStyle w:val="231"/>
              <w:spacing w:before="156" w:after="156" w:line="240" w:lineRule="exact"/>
              <w:jc w:val="center"/>
              <w:rPr>
                <w:rFonts w:hint="eastAsia" w:hAnsi="宋体"/>
                <w:color w:val="auto"/>
                <w:sz w:val="18"/>
                <w:szCs w:val="18"/>
              </w:rPr>
            </w:pPr>
            <w:r>
              <w:rPr>
                <w:rFonts w:hAnsi="宋体"/>
                <w:color w:val="auto"/>
                <w:sz w:val="18"/>
                <w:szCs w:val="18"/>
              </w:rPr>
              <w:t>≤</w:t>
            </w:r>
            <w:r>
              <w:rPr>
                <w:rFonts w:hint="eastAsia" w:hAnsi="宋体"/>
                <w:color w:val="auto"/>
                <w:sz w:val="18"/>
                <w:szCs w:val="18"/>
              </w:rPr>
              <w:t>685</w:t>
            </w:r>
          </w:p>
        </w:tc>
      </w:tr>
      <w:tr w14:paraId="768B55A2">
        <w:tblPrEx>
          <w:tblCellMar>
            <w:top w:w="0" w:type="dxa"/>
            <w:left w:w="108" w:type="dxa"/>
            <w:bottom w:w="0" w:type="dxa"/>
            <w:right w:w="108" w:type="dxa"/>
          </w:tblCellMar>
        </w:tblPrEx>
        <w:trPr>
          <w:trHeight w:val="312" w:hRule="atLeast"/>
          <w:jc w:val="center"/>
        </w:trPr>
        <w:tc>
          <w:tcPr>
            <w:tcW w:w="736" w:type="pct"/>
            <w:vMerge w:val="continue"/>
            <w:tcBorders>
              <w:left w:val="single" w:color="auto" w:sz="8" w:space="0"/>
              <w:right w:val="single" w:color="auto" w:sz="4" w:space="0"/>
            </w:tcBorders>
            <w:shd w:val="clear" w:color="auto" w:fill="auto"/>
            <w:vAlign w:val="center"/>
          </w:tcPr>
          <w:p w14:paraId="0E9FE596">
            <w:pPr>
              <w:jc w:val="center"/>
              <w:rPr>
                <w:rFonts w:hint="eastAsia" w:ascii="宋体" w:hAnsi="宋体"/>
                <w:sz w:val="18"/>
                <w:szCs w:val="18"/>
              </w:rPr>
            </w:pPr>
          </w:p>
        </w:tc>
        <w:tc>
          <w:tcPr>
            <w:tcW w:w="977" w:type="pct"/>
            <w:gridSpan w:val="2"/>
            <w:vMerge w:val="restart"/>
            <w:tcBorders>
              <w:top w:val="single" w:color="auto" w:sz="4" w:space="0"/>
              <w:left w:val="single" w:color="auto" w:sz="4" w:space="0"/>
              <w:right w:val="single" w:color="auto" w:sz="4" w:space="0"/>
            </w:tcBorders>
            <w:shd w:val="clear" w:color="auto" w:fill="auto"/>
            <w:vAlign w:val="center"/>
          </w:tcPr>
          <w:p w14:paraId="2737578D">
            <w:pPr>
              <w:jc w:val="center"/>
              <w:rPr>
                <w:rFonts w:hint="eastAsia" w:ascii="宋体" w:hAnsi="宋体"/>
                <w:sz w:val="18"/>
                <w:szCs w:val="18"/>
              </w:rPr>
            </w:pPr>
            <w:r>
              <w:rPr>
                <w:rFonts w:hint="eastAsia" w:ascii="宋体" w:hAnsi="宋体"/>
                <w:sz w:val="18"/>
                <w:szCs w:val="18"/>
              </w:rPr>
              <w:t>吹制</w:t>
            </w:r>
          </w:p>
        </w:tc>
        <w:tc>
          <w:tcPr>
            <w:tcW w:w="935" w:type="pct"/>
            <w:tcBorders>
              <w:top w:val="single" w:color="auto" w:sz="4" w:space="0"/>
              <w:left w:val="nil"/>
              <w:bottom w:val="single" w:color="auto" w:sz="4" w:space="0"/>
              <w:right w:val="single" w:color="auto" w:sz="4" w:space="0"/>
            </w:tcBorders>
            <w:shd w:val="clear" w:color="auto" w:fill="auto"/>
            <w:vAlign w:val="center"/>
          </w:tcPr>
          <w:p w14:paraId="11268E92">
            <w:pPr>
              <w:jc w:val="center"/>
              <w:rPr>
                <w:rFonts w:hint="eastAsia" w:ascii="宋体" w:hAnsi="宋体"/>
                <w:sz w:val="18"/>
                <w:szCs w:val="18"/>
              </w:rPr>
            </w:pPr>
            <w:r>
              <w:rPr>
                <w:rFonts w:hint="eastAsia" w:ascii="宋体" w:hAnsi="宋体"/>
                <w:sz w:val="18"/>
                <w:szCs w:val="18"/>
              </w:rPr>
              <w:t>电</w:t>
            </w:r>
          </w:p>
        </w:tc>
        <w:tc>
          <w:tcPr>
            <w:tcW w:w="1158" w:type="pct"/>
            <w:tcBorders>
              <w:top w:val="single" w:color="auto" w:sz="4" w:space="0"/>
              <w:left w:val="nil"/>
              <w:bottom w:val="single" w:color="auto" w:sz="4" w:space="0"/>
              <w:right w:val="single" w:color="auto" w:sz="8" w:space="0"/>
            </w:tcBorders>
            <w:shd w:val="clear" w:color="auto" w:fill="auto"/>
          </w:tcPr>
          <w:p w14:paraId="0F38426C">
            <w:pPr>
              <w:jc w:val="center"/>
              <w:rPr>
                <w:rFonts w:hint="eastAsia" w:ascii="宋体" w:hAnsi="宋体"/>
                <w:sz w:val="18"/>
                <w:szCs w:val="18"/>
              </w:rPr>
            </w:pPr>
            <w:r>
              <w:rPr>
                <w:rFonts w:hint="eastAsia" w:ascii="宋体" w:hAnsi="宋体"/>
                <w:sz w:val="18"/>
                <w:szCs w:val="18"/>
              </w:rPr>
              <w:t>≤950</w:t>
            </w:r>
          </w:p>
        </w:tc>
        <w:tc>
          <w:tcPr>
            <w:tcW w:w="1192" w:type="pct"/>
            <w:tcBorders>
              <w:top w:val="single" w:color="auto" w:sz="4" w:space="0"/>
              <w:left w:val="nil"/>
              <w:bottom w:val="single" w:color="auto" w:sz="4" w:space="0"/>
              <w:right w:val="single" w:color="auto" w:sz="8" w:space="0"/>
            </w:tcBorders>
            <w:shd w:val="clear" w:color="auto" w:fill="auto"/>
          </w:tcPr>
          <w:p w14:paraId="7C58D25E">
            <w:pPr>
              <w:spacing w:line="240" w:lineRule="exact"/>
              <w:jc w:val="center"/>
              <w:rPr>
                <w:rFonts w:hint="eastAsia" w:ascii="宋体" w:hAnsi="宋体"/>
                <w:sz w:val="18"/>
                <w:szCs w:val="18"/>
              </w:rPr>
            </w:pPr>
            <w:r>
              <w:rPr>
                <w:rFonts w:hint="eastAsia" w:ascii="宋体" w:hAnsi="宋体"/>
                <w:sz w:val="18"/>
                <w:szCs w:val="18"/>
              </w:rPr>
              <w:t>≤900</w:t>
            </w:r>
          </w:p>
        </w:tc>
      </w:tr>
      <w:tr w14:paraId="0A841252">
        <w:tblPrEx>
          <w:tblCellMar>
            <w:top w:w="0" w:type="dxa"/>
            <w:left w:w="108" w:type="dxa"/>
            <w:bottom w:w="0" w:type="dxa"/>
            <w:right w:w="108" w:type="dxa"/>
          </w:tblCellMar>
        </w:tblPrEx>
        <w:trPr>
          <w:trHeight w:val="312" w:hRule="atLeast"/>
          <w:jc w:val="center"/>
        </w:trPr>
        <w:tc>
          <w:tcPr>
            <w:tcW w:w="736" w:type="pct"/>
            <w:vMerge w:val="continue"/>
            <w:tcBorders>
              <w:left w:val="single" w:color="auto" w:sz="8" w:space="0"/>
              <w:bottom w:val="single" w:color="auto" w:sz="4" w:space="0"/>
              <w:right w:val="single" w:color="auto" w:sz="4" w:space="0"/>
            </w:tcBorders>
            <w:shd w:val="clear" w:color="auto" w:fill="auto"/>
            <w:vAlign w:val="center"/>
          </w:tcPr>
          <w:p w14:paraId="5A6120DC">
            <w:pPr>
              <w:jc w:val="center"/>
              <w:rPr>
                <w:rFonts w:hint="eastAsia" w:ascii="宋体" w:hAnsi="宋体"/>
                <w:sz w:val="18"/>
                <w:szCs w:val="18"/>
              </w:rPr>
            </w:pPr>
          </w:p>
        </w:tc>
        <w:tc>
          <w:tcPr>
            <w:tcW w:w="977" w:type="pct"/>
            <w:gridSpan w:val="2"/>
            <w:vMerge w:val="continue"/>
            <w:tcBorders>
              <w:left w:val="single" w:color="auto" w:sz="4" w:space="0"/>
              <w:bottom w:val="single" w:color="auto" w:sz="4" w:space="0"/>
              <w:right w:val="single" w:color="auto" w:sz="4" w:space="0"/>
            </w:tcBorders>
            <w:shd w:val="clear" w:color="auto" w:fill="auto"/>
            <w:vAlign w:val="center"/>
          </w:tcPr>
          <w:p w14:paraId="5B367F3F">
            <w:pPr>
              <w:jc w:val="center"/>
              <w:rPr>
                <w:rFonts w:hint="eastAsia" w:ascii="宋体" w:hAnsi="宋体"/>
                <w:sz w:val="18"/>
                <w:szCs w:val="18"/>
              </w:rPr>
            </w:pPr>
          </w:p>
        </w:tc>
        <w:tc>
          <w:tcPr>
            <w:tcW w:w="935" w:type="pct"/>
            <w:tcBorders>
              <w:top w:val="single" w:color="auto" w:sz="4" w:space="0"/>
              <w:left w:val="nil"/>
              <w:bottom w:val="single" w:color="auto" w:sz="4" w:space="0"/>
              <w:right w:val="single" w:color="auto" w:sz="4" w:space="0"/>
            </w:tcBorders>
            <w:shd w:val="clear" w:color="auto" w:fill="auto"/>
            <w:vAlign w:val="center"/>
          </w:tcPr>
          <w:p w14:paraId="54BC803B">
            <w:pPr>
              <w:jc w:val="center"/>
              <w:rPr>
                <w:rFonts w:hint="eastAsia" w:ascii="宋体" w:hAnsi="宋体"/>
                <w:sz w:val="18"/>
                <w:szCs w:val="18"/>
              </w:rPr>
            </w:pPr>
            <w:r>
              <w:rPr>
                <w:rFonts w:hint="eastAsia" w:ascii="宋体" w:hAnsi="宋体"/>
                <w:sz w:val="18"/>
                <w:szCs w:val="18"/>
              </w:rPr>
              <w:t>燃料油、天然气</w:t>
            </w:r>
          </w:p>
        </w:tc>
        <w:tc>
          <w:tcPr>
            <w:tcW w:w="1158" w:type="pct"/>
            <w:tcBorders>
              <w:top w:val="single" w:color="auto" w:sz="4" w:space="0"/>
              <w:left w:val="nil"/>
              <w:bottom w:val="single" w:color="auto" w:sz="4" w:space="0"/>
              <w:right w:val="single" w:color="auto" w:sz="8" w:space="0"/>
            </w:tcBorders>
            <w:shd w:val="clear" w:color="auto" w:fill="auto"/>
          </w:tcPr>
          <w:p w14:paraId="5E904A4C">
            <w:pPr>
              <w:jc w:val="center"/>
              <w:rPr>
                <w:rFonts w:hint="eastAsia" w:ascii="宋体" w:hAnsi="宋体"/>
                <w:sz w:val="18"/>
                <w:szCs w:val="18"/>
              </w:rPr>
            </w:pPr>
            <w:r>
              <w:rPr>
                <w:rFonts w:hint="eastAsia" w:ascii="宋体" w:hAnsi="宋体"/>
                <w:sz w:val="18"/>
                <w:szCs w:val="18"/>
              </w:rPr>
              <w:t>≤1280</w:t>
            </w:r>
          </w:p>
        </w:tc>
        <w:tc>
          <w:tcPr>
            <w:tcW w:w="1192" w:type="pct"/>
            <w:tcBorders>
              <w:top w:val="single" w:color="auto" w:sz="4" w:space="0"/>
              <w:left w:val="nil"/>
              <w:bottom w:val="single" w:color="auto" w:sz="4" w:space="0"/>
              <w:right w:val="single" w:color="auto" w:sz="8" w:space="0"/>
            </w:tcBorders>
            <w:shd w:val="clear" w:color="auto" w:fill="auto"/>
          </w:tcPr>
          <w:p w14:paraId="607F30E8">
            <w:pPr>
              <w:spacing w:line="240" w:lineRule="exact"/>
              <w:jc w:val="center"/>
              <w:rPr>
                <w:rFonts w:hint="eastAsia" w:ascii="宋体" w:hAnsi="宋体"/>
                <w:sz w:val="18"/>
                <w:szCs w:val="18"/>
              </w:rPr>
            </w:pPr>
            <w:r>
              <w:rPr>
                <w:rFonts w:hint="eastAsia" w:ascii="宋体" w:hAnsi="宋体"/>
                <w:sz w:val="18"/>
                <w:szCs w:val="18"/>
              </w:rPr>
              <w:t>≤1220</w:t>
            </w:r>
          </w:p>
        </w:tc>
      </w:tr>
      <w:tr w14:paraId="06084590">
        <w:tblPrEx>
          <w:tblCellMar>
            <w:top w:w="0" w:type="dxa"/>
            <w:left w:w="108" w:type="dxa"/>
            <w:bottom w:w="0" w:type="dxa"/>
            <w:right w:w="108" w:type="dxa"/>
          </w:tblCellMar>
        </w:tblPrEx>
        <w:trPr>
          <w:trHeight w:val="312" w:hRule="atLeast"/>
          <w:jc w:val="center"/>
        </w:trPr>
        <w:tc>
          <w:tcPr>
            <w:tcW w:w="5000" w:type="pct"/>
            <w:gridSpan w:val="6"/>
            <w:tcBorders>
              <w:top w:val="single" w:color="auto" w:sz="4" w:space="0"/>
              <w:left w:val="single" w:color="auto" w:sz="8" w:space="0"/>
              <w:bottom w:val="single" w:color="auto" w:sz="8" w:space="0"/>
              <w:right w:val="single" w:color="auto" w:sz="8" w:space="0"/>
            </w:tcBorders>
            <w:shd w:val="clear" w:color="auto" w:fill="auto"/>
            <w:vAlign w:val="center"/>
          </w:tcPr>
          <w:p w14:paraId="07BF85B2">
            <w:pPr>
              <w:pStyle w:val="183"/>
              <w:numPr>
                <w:ilvl w:val="0"/>
                <w:numId w:val="41"/>
              </w:numPr>
              <w:rPr>
                <w:rFonts w:hint="eastAsia" w:hAnsi="宋体"/>
              </w:rPr>
            </w:pPr>
            <w:r>
              <w:rPr>
                <w:rFonts w:hint="eastAsia" w:hAnsi="宋体"/>
              </w:rPr>
              <w:t>不适用于乳白玻璃制品；不适用于Fe</w:t>
            </w:r>
            <w:r>
              <w:rPr>
                <w:rFonts w:hint="eastAsia" w:hAnsi="宋体"/>
                <w:vertAlign w:val="subscript"/>
              </w:rPr>
              <w:t>2</w:t>
            </w:r>
            <w:r>
              <w:rPr>
                <w:rFonts w:hint="eastAsia" w:hAnsi="宋体"/>
              </w:rPr>
              <w:t>O</w:t>
            </w:r>
            <w:r>
              <w:rPr>
                <w:rFonts w:hint="eastAsia" w:hAnsi="宋体"/>
                <w:vertAlign w:val="subscript"/>
              </w:rPr>
              <w:t>3</w:t>
            </w:r>
            <w:r>
              <w:rPr>
                <w:rFonts w:hint="eastAsia" w:hAnsi="宋体"/>
              </w:rPr>
              <w:t>含量≤0.03％的高档玻璃瓶罐；不适用于Fe</w:t>
            </w:r>
            <w:r>
              <w:rPr>
                <w:rFonts w:hint="eastAsia" w:hAnsi="宋体"/>
                <w:vertAlign w:val="subscript"/>
              </w:rPr>
              <w:t>2</w:t>
            </w:r>
            <w:r>
              <w:rPr>
                <w:rFonts w:hint="eastAsia" w:hAnsi="宋体"/>
              </w:rPr>
              <w:t>O</w:t>
            </w:r>
            <w:r>
              <w:rPr>
                <w:rFonts w:hint="eastAsia" w:hAnsi="宋体"/>
                <w:vertAlign w:val="subscript"/>
              </w:rPr>
              <w:t>3</w:t>
            </w:r>
            <w:r>
              <w:rPr>
                <w:rFonts w:hint="eastAsia" w:hAnsi="宋体"/>
              </w:rPr>
              <w:t>含量≤0.02％的高档玻璃器皿。</w:t>
            </w:r>
          </w:p>
          <w:p w14:paraId="5978B017">
            <w:pPr>
              <w:pStyle w:val="183"/>
              <w:rPr>
                <w:rFonts w:hint="eastAsia" w:hAnsi="宋体"/>
              </w:rPr>
            </w:pPr>
            <w:r>
              <w:rPr>
                <w:rFonts w:hAnsi="宋体"/>
              </w:rPr>
              <w:t>电力折标准煤系数</w:t>
            </w:r>
            <w:r>
              <w:rPr>
                <w:rFonts w:hint="eastAsia" w:hAnsi="宋体"/>
              </w:rPr>
              <w:t>采用0.33</w:t>
            </w:r>
            <w:r>
              <w:rPr>
                <w:rFonts w:hAnsi="宋体"/>
              </w:rPr>
              <w:t xml:space="preserve"> kgce</w:t>
            </w:r>
            <w:r>
              <w:rPr>
                <w:rFonts w:hAnsi="宋体"/>
                <w:spacing w:val="20"/>
              </w:rPr>
              <w:t>/</w:t>
            </w:r>
            <w:r>
              <w:rPr>
                <w:rFonts w:hAnsi="宋体"/>
              </w:rPr>
              <w:t>kW</w:t>
            </w:r>
            <w:r>
              <w:rPr>
                <w:rFonts w:hint="default" w:ascii="Times New Roman" w:hAnsi="Times New Roman" w:cs="Times New Roman"/>
                <w:sz w:val="18"/>
                <w:szCs w:val="18"/>
              </w:rPr>
              <w:t>·</w:t>
            </w:r>
            <w:r>
              <w:rPr>
                <w:rFonts w:hAnsi="宋体"/>
              </w:rPr>
              <w:t>h</w:t>
            </w:r>
            <w:r>
              <w:rPr>
                <w:rFonts w:hint="eastAsia" w:hAnsi="宋体"/>
              </w:rPr>
              <w:t>，热力折标准煤系数采用0.03412</w:t>
            </w:r>
            <w:r>
              <w:rPr>
                <w:rFonts w:hAnsi="宋体"/>
              </w:rPr>
              <w:t xml:space="preserve"> </w:t>
            </w:r>
            <w:r>
              <w:rPr>
                <w:rFonts w:hint="eastAsia" w:hAnsi="宋体"/>
              </w:rPr>
              <w:t>kgce</w:t>
            </w:r>
            <w:r>
              <w:rPr>
                <w:rFonts w:hAnsi="宋体"/>
                <w:spacing w:val="20"/>
              </w:rPr>
              <w:t>/</w:t>
            </w:r>
            <w:r>
              <w:rPr>
                <w:rFonts w:hint="eastAsia" w:hAnsi="宋体"/>
                <w:spacing w:val="20"/>
              </w:rPr>
              <w:t>MJ，</w:t>
            </w:r>
            <w:r>
              <w:rPr>
                <w:rFonts w:hint="eastAsia" w:hAnsi="宋体"/>
              </w:rPr>
              <w:t>新水折标准煤系数采用0.0857</w:t>
            </w:r>
            <w:r>
              <w:rPr>
                <w:rFonts w:hAnsi="宋体"/>
              </w:rPr>
              <w:t xml:space="preserve"> </w:t>
            </w:r>
            <w:r>
              <w:rPr>
                <w:rFonts w:hint="eastAsia" w:hAnsi="宋体"/>
              </w:rPr>
              <w:t>kgce/t</w:t>
            </w:r>
            <w:r>
              <w:rPr>
                <w:rFonts w:hint="eastAsia" w:hAnsi="宋体"/>
                <w:spacing w:val="20"/>
              </w:rPr>
              <w:t>。</w:t>
            </w:r>
          </w:p>
        </w:tc>
      </w:tr>
    </w:tbl>
    <w:p w14:paraId="06616BAD">
      <w:pPr>
        <w:pStyle w:val="108"/>
        <w:spacing w:before="156" w:after="156"/>
      </w:pPr>
      <w:bookmarkStart w:id="486" w:name="_Toc496881055"/>
      <w:bookmarkStart w:id="487" w:name="_Toc175504971"/>
      <w:bookmarkStart w:id="488" w:name="_Toc175690957"/>
      <w:bookmarkStart w:id="489" w:name="_Toc502760522"/>
      <w:bookmarkStart w:id="490" w:name="_Toc496771318"/>
      <w:bookmarkStart w:id="491" w:name="_Toc32541"/>
      <w:bookmarkStart w:id="492" w:name="_Toc21180"/>
      <w:bookmarkStart w:id="493" w:name="_Toc24061"/>
      <w:r>
        <w:rPr>
          <w:rFonts w:hint="eastAsia"/>
        </w:rPr>
        <w:t>建筑陶瓷</w:t>
      </w:r>
      <w:bookmarkEnd w:id="486"/>
      <w:bookmarkEnd w:id="487"/>
      <w:bookmarkEnd w:id="488"/>
      <w:bookmarkEnd w:id="489"/>
      <w:bookmarkEnd w:id="490"/>
      <w:bookmarkEnd w:id="491"/>
      <w:bookmarkEnd w:id="492"/>
      <w:bookmarkEnd w:id="493"/>
    </w:p>
    <w:p w14:paraId="626C6E76">
      <w:pPr>
        <w:pStyle w:val="68"/>
        <w:spacing w:before="156" w:after="156"/>
      </w:pPr>
      <w:bookmarkStart w:id="494" w:name="_Toc475629891"/>
      <w:bookmarkEnd w:id="494"/>
      <w:bookmarkStart w:id="495" w:name="_Toc25776"/>
      <w:bookmarkEnd w:id="495"/>
      <w:bookmarkStart w:id="496" w:name="_Toc20924"/>
      <w:r>
        <w:rPr>
          <w:rFonts w:hint="eastAsia"/>
        </w:rPr>
        <w:t>适用对象</w:t>
      </w:r>
    </w:p>
    <w:p w14:paraId="74D6A1EB">
      <w:pPr>
        <w:pStyle w:val="59"/>
        <w:ind w:firstLine="420"/>
      </w:pPr>
      <w:r>
        <w:rPr>
          <w:rFonts w:hint="eastAsia"/>
        </w:rPr>
        <w:t>适用于建筑陶瓷生产企业进行单位产品综合能耗的计算、考核与评价。</w:t>
      </w:r>
    </w:p>
    <w:p w14:paraId="690EBAA4">
      <w:pPr>
        <w:pStyle w:val="68"/>
        <w:spacing w:before="156" w:after="156"/>
      </w:pPr>
      <w:r>
        <w:rPr>
          <w:rFonts w:hint="eastAsia"/>
        </w:rPr>
        <w:t>建筑陶瓷单位产品综合能耗限定值</w:t>
      </w:r>
      <w:bookmarkEnd w:id="496"/>
      <w:r>
        <w:rPr>
          <w:rFonts w:hint="eastAsia"/>
        </w:rPr>
        <w:t>和准入值</w:t>
      </w:r>
    </w:p>
    <w:p w14:paraId="751B1299">
      <w:pPr>
        <w:pStyle w:val="59"/>
        <w:ind w:firstLine="420"/>
      </w:pPr>
      <w:r>
        <w:t>现有企业</w:t>
      </w:r>
      <w:r>
        <w:rPr>
          <w:rFonts w:hint="eastAsia" w:hAnsi="宋体"/>
        </w:rPr>
        <w:t>建筑陶瓷</w:t>
      </w:r>
      <w:r>
        <w:t>单位产品综合能耗限定值</w:t>
      </w:r>
      <w:r>
        <w:rPr>
          <w:rFonts w:hint="eastAsia"/>
        </w:rPr>
        <w:t>，新建企业、现有企业</w:t>
      </w:r>
      <w:r>
        <w:t>改扩建</w:t>
      </w:r>
      <w:r>
        <w:rPr>
          <w:rFonts w:hint="eastAsia"/>
        </w:rPr>
        <w:t>项目建筑陶瓷</w:t>
      </w:r>
      <w:r>
        <w:rPr>
          <w:rFonts w:ascii="F5" w:hAnsi="F5"/>
        </w:rPr>
        <w:t>单位产品综合能耗准入值</w:t>
      </w:r>
      <w:r>
        <w:t>应符合表</w:t>
      </w:r>
      <w:r>
        <w:rPr>
          <w:rFonts w:hint="eastAsia" w:hAnsi="宋体"/>
        </w:rPr>
        <w:t>20</w:t>
      </w:r>
      <w:r>
        <w:t xml:space="preserve">的规定。 </w:t>
      </w:r>
    </w:p>
    <w:p w14:paraId="2AA55C70">
      <w:pPr>
        <w:pStyle w:val="59"/>
        <w:ind w:firstLine="420"/>
      </w:pPr>
    </w:p>
    <w:p w14:paraId="24D7FB0C">
      <w:pPr>
        <w:pStyle w:val="115"/>
        <w:spacing w:before="156" w:after="156"/>
      </w:pPr>
      <w:r>
        <w:rPr>
          <w:rFonts w:hint="eastAsia"/>
        </w:rPr>
        <w:t>建筑陶瓷单位产品综合能耗限定值和准入值</w:t>
      </w:r>
    </w:p>
    <w:tbl>
      <w:tblPr>
        <w:tblStyle w:val="28"/>
        <w:tblW w:w="4999"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857"/>
        <w:gridCol w:w="1625"/>
        <w:gridCol w:w="1625"/>
        <w:gridCol w:w="1623"/>
        <w:gridCol w:w="1642"/>
      </w:tblGrid>
      <w:tr w14:paraId="6FC9FB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524" w:type="pct"/>
            <w:vMerge w:val="restart"/>
            <w:tcBorders>
              <w:top w:val="single" w:color="auto" w:sz="8" w:space="0"/>
            </w:tcBorders>
            <w:shd w:val="clear" w:color="auto" w:fill="auto"/>
            <w:vAlign w:val="center"/>
          </w:tcPr>
          <w:p w14:paraId="0CC6C458">
            <w:pPr>
              <w:spacing w:line="240" w:lineRule="auto"/>
              <w:jc w:val="center"/>
              <w:rPr>
                <w:rFonts w:hint="eastAsia" w:ascii="宋体" w:hAnsi="宋体"/>
                <w:sz w:val="18"/>
                <w:szCs w:val="18"/>
              </w:rPr>
            </w:pPr>
            <w:r>
              <w:rPr>
                <w:rFonts w:hint="eastAsia" w:ascii="宋体" w:hAnsi="宋体"/>
                <w:sz w:val="18"/>
                <w:szCs w:val="18"/>
              </w:rPr>
              <w:t>分类</w:t>
            </w:r>
          </w:p>
        </w:tc>
        <w:tc>
          <w:tcPr>
            <w:tcW w:w="1734" w:type="pct"/>
            <w:gridSpan w:val="2"/>
            <w:tcBorders>
              <w:top w:val="single" w:color="auto" w:sz="8" w:space="0"/>
              <w:bottom w:val="single" w:color="auto" w:sz="8" w:space="0"/>
            </w:tcBorders>
            <w:shd w:val="clear" w:color="auto" w:fill="auto"/>
            <w:vAlign w:val="center"/>
          </w:tcPr>
          <w:p w14:paraId="4067144C">
            <w:pPr>
              <w:spacing w:line="240" w:lineRule="auto"/>
              <w:jc w:val="center"/>
              <w:rPr>
                <w:rFonts w:hint="eastAsia" w:ascii="宋体" w:hAnsi="宋体"/>
                <w:sz w:val="18"/>
                <w:szCs w:val="18"/>
              </w:rPr>
            </w:pPr>
            <w:r>
              <w:rPr>
                <w:rFonts w:hint="eastAsia" w:ascii="宋体" w:hAnsi="宋体"/>
                <w:sz w:val="18"/>
                <w:szCs w:val="18"/>
              </w:rPr>
              <w:t>单位产品综合能耗</w:t>
            </w:r>
          </w:p>
          <w:p w14:paraId="4D828784">
            <w:pPr>
              <w:spacing w:line="240" w:lineRule="auto"/>
              <w:jc w:val="center"/>
              <w:rPr>
                <w:rFonts w:hint="eastAsia" w:ascii="宋体" w:hAnsi="宋体"/>
                <w:sz w:val="18"/>
                <w:szCs w:val="18"/>
              </w:rPr>
            </w:pPr>
            <w:r>
              <w:rPr>
                <w:rFonts w:hint="eastAsia" w:ascii="宋体" w:hAnsi="宋体"/>
                <w:sz w:val="18"/>
                <w:szCs w:val="18"/>
              </w:rPr>
              <w:t>kgce/t</w:t>
            </w:r>
          </w:p>
        </w:tc>
        <w:tc>
          <w:tcPr>
            <w:tcW w:w="1740" w:type="pct"/>
            <w:gridSpan w:val="2"/>
            <w:tcBorders>
              <w:top w:val="single" w:color="auto" w:sz="8" w:space="0"/>
              <w:bottom w:val="single" w:color="auto" w:sz="8" w:space="0"/>
            </w:tcBorders>
            <w:shd w:val="clear" w:color="auto" w:fill="auto"/>
            <w:vAlign w:val="center"/>
          </w:tcPr>
          <w:p w14:paraId="2395BFFA">
            <w:pPr>
              <w:spacing w:line="240" w:lineRule="auto"/>
              <w:jc w:val="center"/>
              <w:rPr>
                <w:rFonts w:hint="eastAsia" w:ascii="宋体" w:hAnsi="宋体"/>
                <w:sz w:val="18"/>
                <w:szCs w:val="18"/>
              </w:rPr>
            </w:pPr>
            <w:r>
              <w:rPr>
                <w:rFonts w:hint="eastAsia" w:ascii="宋体" w:hAnsi="宋体"/>
                <w:sz w:val="18"/>
                <w:szCs w:val="18"/>
              </w:rPr>
              <w:t>单位产品综合电耗</w:t>
            </w:r>
          </w:p>
          <w:p w14:paraId="42F29850">
            <w:pPr>
              <w:spacing w:line="240" w:lineRule="auto"/>
              <w:jc w:val="center"/>
              <w:rPr>
                <w:rFonts w:hint="eastAsia" w:ascii="宋体" w:hAnsi="宋体"/>
                <w:sz w:val="18"/>
                <w:szCs w:val="18"/>
              </w:rPr>
            </w:pPr>
            <w:r>
              <w:rPr>
                <w:rFonts w:hint="eastAsia" w:ascii="宋体" w:hAnsi="宋体"/>
                <w:sz w:val="18"/>
                <w:szCs w:val="18"/>
                <w:shd w:val="clear" w:color="auto" w:fill="FFFFFF"/>
              </w:rPr>
              <w:t>kW</w:t>
            </w:r>
            <w:r>
              <w:rPr>
                <w:rFonts w:hint="default" w:ascii="Times New Roman" w:hAnsi="Times New Roman" w:cs="Times New Roman"/>
                <w:sz w:val="18"/>
                <w:szCs w:val="18"/>
              </w:rPr>
              <w:t>·</w:t>
            </w:r>
            <w:r>
              <w:rPr>
                <w:rFonts w:hint="eastAsia" w:ascii="宋体" w:hAnsi="宋体"/>
                <w:sz w:val="18"/>
                <w:szCs w:val="18"/>
                <w:shd w:val="clear" w:color="auto" w:fill="FFFFFF"/>
              </w:rPr>
              <w:t>h</w:t>
            </w:r>
            <w:r>
              <w:rPr>
                <w:rFonts w:hint="eastAsia" w:ascii="宋体" w:hAnsi="宋体"/>
                <w:sz w:val="18"/>
                <w:szCs w:val="18"/>
              </w:rPr>
              <w:t>/t</w:t>
            </w:r>
          </w:p>
        </w:tc>
      </w:tr>
      <w:tr w14:paraId="1D7084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524" w:type="pct"/>
            <w:vMerge w:val="continue"/>
            <w:tcBorders>
              <w:bottom w:val="single" w:color="auto" w:sz="8" w:space="0"/>
            </w:tcBorders>
            <w:shd w:val="clear" w:color="auto" w:fill="auto"/>
            <w:vAlign w:val="center"/>
          </w:tcPr>
          <w:p w14:paraId="32B96779">
            <w:pPr>
              <w:spacing w:line="240" w:lineRule="auto"/>
              <w:jc w:val="center"/>
              <w:rPr>
                <w:rFonts w:hint="eastAsia" w:ascii="宋体" w:hAnsi="宋体"/>
                <w:sz w:val="18"/>
                <w:szCs w:val="18"/>
              </w:rPr>
            </w:pPr>
          </w:p>
        </w:tc>
        <w:tc>
          <w:tcPr>
            <w:tcW w:w="867" w:type="pct"/>
            <w:tcBorders>
              <w:top w:val="single" w:color="auto" w:sz="8" w:space="0"/>
              <w:bottom w:val="single" w:color="auto" w:sz="8" w:space="0"/>
            </w:tcBorders>
            <w:shd w:val="clear" w:color="auto" w:fill="auto"/>
            <w:vAlign w:val="center"/>
          </w:tcPr>
          <w:p w14:paraId="0DC36BE5">
            <w:pPr>
              <w:spacing w:line="240" w:lineRule="auto"/>
              <w:jc w:val="center"/>
              <w:rPr>
                <w:rFonts w:hint="eastAsia" w:ascii="宋体" w:hAnsi="宋体"/>
                <w:sz w:val="18"/>
                <w:szCs w:val="18"/>
              </w:rPr>
            </w:pPr>
            <w:r>
              <w:rPr>
                <w:rFonts w:hint="eastAsia" w:ascii="宋体" w:hAnsi="宋体"/>
                <w:sz w:val="18"/>
                <w:szCs w:val="18"/>
              </w:rPr>
              <w:t>限定值</w:t>
            </w:r>
          </w:p>
        </w:tc>
        <w:tc>
          <w:tcPr>
            <w:tcW w:w="867" w:type="pct"/>
            <w:tcBorders>
              <w:top w:val="single" w:color="auto" w:sz="8" w:space="0"/>
              <w:bottom w:val="single" w:color="auto" w:sz="8" w:space="0"/>
            </w:tcBorders>
            <w:shd w:val="clear" w:color="auto" w:fill="auto"/>
            <w:vAlign w:val="center"/>
          </w:tcPr>
          <w:p w14:paraId="1D0EE8FD">
            <w:pPr>
              <w:spacing w:line="240" w:lineRule="auto"/>
              <w:jc w:val="center"/>
              <w:rPr>
                <w:rFonts w:hint="eastAsia" w:ascii="宋体" w:hAnsi="宋体"/>
                <w:sz w:val="18"/>
                <w:szCs w:val="18"/>
              </w:rPr>
            </w:pPr>
            <w:r>
              <w:rPr>
                <w:rFonts w:hint="eastAsia" w:ascii="宋体" w:hAnsi="宋体"/>
                <w:sz w:val="18"/>
                <w:szCs w:val="18"/>
              </w:rPr>
              <w:t>准入值</w:t>
            </w:r>
          </w:p>
        </w:tc>
        <w:tc>
          <w:tcPr>
            <w:tcW w:w="866" w:type="pct"/>
            <w:tcBorders>
              <w:top w:val="single" w:color="auto" w:sz="8" w:space="0"/>
              <w:bottom w:val="single" w:color="auto" w:sz="8" w:space="0"/>
            </w:tcBorders>
            <w:shd w:val="clear" w:color="auto" w:fill="auto"/>
            <w:vAlign w:val="center"/>
          </w:tcPr>
          <w:p w14:paraId="600CFF9C">
            <w:pPr>
              <w:spacing w:line="240" w:lineRule="auto"/>
              <w:jc w:val="center"/>
              <w:rPr>
                <w:rFonts w:hint="eastAsia" w:ascii="宋体" w:hAnsi="宋体"/>
                <w:sz w:val="18"/>
                <w:szCs w:val="18"/>
                <w:shd w:val="clear" w:color="auto" w:fill="FFFFFF"/>
              </w:rPr>
            </w:pPr>
            <w:r>
              <w:rPr>
                <w:rFonts w:hint="eastAsia" w:ascii="宋体" w:hAnsi="宋体"/>
                <w:sz w:val="18"/>
                <w:szCs w:val="18"/>
              </w:rPr>
              <w:t>限定值</w:t>
            </w:r>
          </w:p>
        </w:tc>
        <w:tc>
          <w:tcPr>
            <w:tcW w:w="874" w:type="pct"/>
            <w:tcBorders>
              <w:top w:val="single" w:color="auto" w:sz="8" w:space="0"/>
              <w:bottom w:val="single" w:color="auto" w:sz="8" w:space="0"/>
            </w:tcBorders>
            <w:shd w:val="clear" w:color="auto" w:fill="auto"/>
            <w:vAlign w:val="center"/>
          </w:tcPr>
          <w:p w14:paraId="6DB6EB5F">
            <w:pPr>
              <w:spacing w:line="240" w:lineRule="auto"/>
              <w:jc w:val="center"/>
              <w:rPr>
                <w:rFonts w:hint="eastAsia" w:ascii="宋体" w:hAnsi="宋体"/>
                <w:sz w:val="18"/>
                <w:szCs w:val="18"/>
                <w:shd w:val="clear" w:color="auto" w:fill="FFFFFF"/>
              </w:rPr>
            </w:pPr>
            <w:r>
              <w:rPr>
                <w:rFonts w:hint="eastAsia" w:ascii="宋体" w:hAnsi="宋体"/>
                <w:sz w:val="18"/>
                <w:szCs w:val="18"/>
                <w:shd w:val="clear" w:color="auto" w:fill="FFFFFF"/>
              </w:rPr>
              <w:t>准入值</w:t>
            </w:r>
          </w:p>
        </w:tc>
      </w:tr>
      <w:tr w14:paraId="50281C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1524" w:type="pct"/>
            <w:tcBorders>
              <w:top w:val="single" w:color="auto" w:sz="8" w:space="0"/>
            </w:tcBorders>
            <w:shd w:val="clear" w:color="auto" w:fill="auto"/>
            <w:vAlign w:val="center"/>
          </w:tcPr>
          <w:p w14:paraId="0091B595">
            <w:pPr>
              <w:spacing w:line="240" w:lineRule="auto"/>
              <w:jc w:val="center"/>
              <w:rPr>
                <w:rFonts w:hint="eastAsia" w:ascii="宋体" w:hAnsi="宋体"/>
                <w:sz w:val="18"/>
                <w:szCs w:val="18"/>
              </w:rPr>
            </w:pPr>
            <w:r>
              <w:rPr>
                <w:rFonts w:ascii="宋体" w:hAnsi="宋体"/>
                <w:i/>
                <w:iCs/>
                <w:sz w:val="18"/>
                <w:szCs w:val="18"/>
              </w:rPr>
              <w:t>a</w:t>
            </w:r>
            <w:r>
              <w:rPr>
                <w:rFonts w:hint="eastAsia" w:ascii="宋体" w:hAnsi="宋体"/>
                <w:sz w:val="18"/>
                <w:szCs w:val="18"/>
              </w:rPr>
              <w:t>≤0.5％</w:t>
            </w:r>
          </w:p>
        </w:tc>
        <w:tc>
          <w:tcPr>
            <w:tcW w:w="867" w:type="pct"/>
            <w:tcBorders>
              <w:top w:val="single" w:color="auto" w:sz="8" w:space="0"/>
            </w:tcBorders>
            <w:shd w:val="clear" w:color="auto" w:fill="auto"/>
            <w:vAlign w:val="center"/>
          </w:tcPr>
          <w:p w14:paraId="70EFBC8A">
            <w:pPr>
              <w:pStyle w:val="231"/>
              <w:spacing w:before="156" w:after="156"/>
              <w:jc w:val="center"/>
              <w:rPr>
                <w:rFonts w:hint="eastAsia" w:hAnsi="宋体"/>
                <w:color w:val="auto"/>
                <w:sz w:val="18"/>
                <w:szCs w:val="18"/>
              </w:rPr>
            </w:pPr>
            <w:r>
              <w:rPr>
                <w:rFonts w:hAnsi="宋体"/>
                <w:color w:val="auto"/>
                <w:sz w:val="18"/>
                <w:szCs w:val="18"/>
              </w:rPr>
              <w:t>≤320</w:t>
            </w:r>
          </w:p>
        </w:tc>
        <w:tc>
          <w:tcPr>
            <w:tcW w:w="867" w:type="pct"/>
            <w:tcBorders>
              <w:top w:val="single" w:color="auto" w:sz="8" w:space="0"/>
            </w:tcBorders>
            <w:shd w:val="clear" w:color="auto" w:fill="auto"/>
            <w:vAlign w:val="center"/>
          </w:tcPr>
          <w:p w14:paraId="3820E8CE">
            <w:pPr>
              <w:spacing w:line="240" w:lineRule="auto"/>
              <w:jc w:val="center"/>
              <w:rPr>
                <w:rFonts w:hint="eastAsia" w:hAnsi="宋体"/>
                <w:sz w:val="18"/>
                <w:szCs w:val="18"/>
              </w:rPr>
            </w:pPr>
            <w:r>
              <w:rPr>
                <w:rFonts w:hint="eastAsia" w:ascii="宋体" w:hAnsi="宋体"/>
                <w:sz w:val="18"/>
                <w:szCs w:val="18"/>
              </w:rPr>
              <w:t>≤ 300</w:t>
            </w:r>
          </w:p>
        </w:tc>
        <w:tc>
          <w:tcPr>
            <w:tcW w:w="866" w:type="pct"/>
            <w:tcBorders>
              <w:top w:val="single" w:color="auto" w:sz="8" w:space="0"/>
            </w:tcBorders>
            <w:shd w:val="clear" w:color="auto" w:fill="auto"/>
            <w:vAlign w:val="center"/>
          </w:tcPr>
          <w:p w14:paraId="618FF0CA">
            <w:pPr>
              <w:pStyle w:val="231"/>
              <w:spacing w:before="156" w:after="156"/>
              <w:jc w:val="center"/>
              <w:rPr>
                <w:rFonts w:hint="eastAsia" w:hAnsi="宋体"/>
                <w:color w:val="auto"/>
                <w:sz w:val="18"/>
                <w:szCs w:val="18"/>
              </w:rPr>
            </w:pPr>
            <w:r>
              <w:rPr>
                <w:rFonts w:hAnsi="宋体"/>
                <w:color w:val="auto"/>
                <w:sz w:val="18"/>
                <w:szCs w:val="18"/>
              </w:rPr>
              <w:t>≤380</w:t>
            </w:r>
          </w:p>
        </w:tc>
        <w:tc>
          <w:tcPr>
            <w:tcW w:w="874" w:type="pct"/>
            <w:tcBorders>
              <w:top w:val="single" w:color="auto" w:sz="8" w:space="0"/>
            </w:tcBorders>
            <w:shd w:val="clear" w:color="auto" w:fill="auto"/>
            <w:vAlign w:val="center"/>
          </w:tcPr>
          <w:p w14:paraId="6A1559EF">
            <w:pPr>
              <w:spacing w:line="240" w:lineRule="auto"/>
              <w:jc w:val="center"/>
              <w:rPr>
                <w:rFonts w:hint="eastAsia" w:hAnsi="宋体"/>
                <w:sz w:val="18"/>
                <w:szCs w:val="18"/>
              </w:rPr>
            </w:pPr>
            <w:r>
              <w:rPr>
                <w:rFonts w:hint="eastAsia" w:ascii="宋体" w:hAnsi="宋体"/>
                <w:sz w:val="18"/>
                <w:szCs w:val="18"/>
              </w:rPr>
              <w:t>≤ 340</w:t>
            </w:r>
          </w:p>
        </w:tc>
      </w:tr>
      <w:tr w14:paraId="4C63DC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1524" w:type="pct"/>
            <w:shd w:val="clear" w:color="auto" w:fill="auto"/>
            <w:vAlign w:val="center"/>
          </w:tcPr>
          <w:p w14:paraId="2DE8FBFE">
            <w:pPr>
              <w:spacing w:line="240" w:lineRule="auto"/>
              <w:jc w:val="center"/>
              <w:rPr>
                <w:rFonts w:hint="eastAsia" w:ascii="宋体" w:hAnsi="宋体"/>
                <w:sz w:val="18"/>
                <w:szCs w:val="18"/>
              </w:rPr>
            </w:pPr>
            <w:r>
              <w:rPr>
                <w:rFonts w:hint="eastAsia" w:ascii="宋体" w:hAnsi="宋体"/>
                <w:sz w:val="18"/>
                <w:szCs w:val="18"/>
              </w:rPr>
              <w:t>0.5％＜</w:t>
            </w:r>
            <w:r>
              <w:rPr>
                <w:rFonts w:ascii="宋体" w:hAnsi="宋体"/>
                <w:i/>
                <w:iCs/>
                <w:sz w:val="18"/>
                <w:szCs w:val="18"/>
              </w:rPr>
              <w:t>a</w:t>
            </w:r>
            <w:r>
              <w:rPr>
                <w:rFonts w:hint="eastAsia" w:ascii="宋体" w:hAnsi="宋体"/>
                <w:sz w:val="18"/>
                <w:szCs w:val="18"/>
              </w:rPr>
              <w:t>≤10％</w:t>
            </w:r>
          </w:p>
        </w:tc>
        <w:tc>
          <w:tcPr>
            <w:tcW w:w="867" w:type="pct"/>
            <w:shd w:val="clear" w:color="auto" w:fill="auto"/>
            <w:vAlign w:val="center"/>
          </w:tcPr>
          <w:p w14:paraId="5E181CB5">
            <w:pPr>
              <w:pStyle w:val="231"/>
              <w:spacing w:before="156" w:after="156"/>
              <w:jc w:val="center"/>
              <w:rPr>
                <w:rFonts w:hint="eastAsia" w:hAnsi="宋体"/>
                <w:color w:val="auto"/>
                <w:sz w:val="18"/>
                <w:szCs w:val="18"/>
              </w:rPr>
            </w:pPr>
            <w:r>
              <w:rPr>
                <w:rFonts w:hAnsi="宋体"/>
                <w:color w:val="auto"/>
                <w:sz w:val="18"/>
                <w:szCs w:val="18"/>
              </w:rPr>
              <w:t>≤280</w:t>
            </w:r>
          </w:p>
        </w:tc>
        <w:tc>
          <w:tcPr>
            <w:tcW w:w="867" w:type="pct"/>
            <w:shd w:val="clear" w:color="auto" w:fill="auto"/>
            <w:vAlign w:val="center"/>
          </w:tcPr>
          <w:p w14:paraId="5E1238FF">
            <w:pPr>
              <w:spacing w:line="240" w:lineRule="auto"/>
              <w:jc w:val="center"/>
              <w:rPr>
                <w:rFonts w:hint="eastAsia" w:hAnsi="宋体"/>
                <w:sz w:val="18"/>
                <w:szCs w:val="18"/>
              </w:rPr>
            </w:pPr>
            <w:r>
              <w:rPr>
                <w:rFonts w:hint="eastAsia" w:ascii="宋体" w:hAnsi="宋体"/>
                <w:sz w:val="18"/>
                <w:szCs w:val="18"/>
              </w:rPr>
              <w:t>≤ 230</w:t>
            </w:r>
          </w:p>
        </w:tc>
        <w:tc>
          <w:tcPr>
            <w:tcW w:w="866" w:type="pct"/>
            <w:shd w:val="clear" w:color="auto" w:fill="auto"/>
            <w:vAlign w:val="center"/>
          </w:tcPr>
          <w:p w14:paraId="7C218864">
            <w:pPr>
              <w:pStyle w:val="231"/>
              <w:spacing w:before="156" w:after="156"/>
              <w:jc w:val="center"/>
              <w:rPr>
                <w:rFonts w:hint="eastAsia" w:hAnsi="宋体"/>
                <w:color w:val="auto"/>
                <w:sz w:val="18"/>
                <w:szCs w:val="18"/>
              </w:rPr>
            </w:pPr>
            <w:r>
              <w:rPr>
                <w:rFonts w:hAnsi="宋体"/>
                <w:color w:val="auto"/>
                <w:sz w:val="18"/>
                <w:szCs w:val="18"/>
              </w:rPr>
              <w:t>≤350</w:t>
            </w:r>
          </w:p>
        </w:tc>
        <w:tc>
          <w:tcPr>
            <w:tcW w:w="874" w:type="pct"/>
            <w:shd w:val="clear" w:color="auto" w:fill="auto"/>
            <w:vAlign w:val="center"/>
          </w:tcPr>
          <w:p w14:paraId="2D7A6AE7">
            <w:pPr>
              <w:spacing w:line="240" w:lineRule="auto"/>
              <w:jc w:val="center"/>
              <w:rPr>
                <w:rFonts w:hint="eastAsia" w:hAnsi="宋体"/>
                <w:sz w:val="18"/>
                <w:szCs w:val="18"/>
              </w:rPr>
            </w:pPr>
            <w:r>
              <w:rPr>
                <w:rFonts w:hint="eastAsia" w:ascii="宋体" w:hAnsi="宋体"/>
                <w:sz w:val="18"/>
                <w:szCs w:val="18"/>
              </w:rPr>
              <w:t>≤ 300</w:t>
            </w:r>
          </w:p>
        </w:tc>
      </w:tr>
      <w:tr w14:paraId="5234CF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1524" w:type="pct"/>
            <w:shd w:val="clear" w:color="auto" w:fill="auto"/>
            <w:vAlign w:val="center"/>
          </w:tcPr>
          <w:p w14:paraId="2DFF0C5D">
            <w:pPr>
              <w:spacing w:line="240" w:lineRule="auto"/>
              <w:jc w:val="center"/>
              <w:rPr>
                <w:rFonts w:hint="eastAsia" w:ascii="宋体" w:hAnsi="宋体"/>
                <w:sz w:val="18"/>
                <w:szCs w:val="18"/>
              </w:rPr>
            </w:pPr>
            <w:r>
              <w:rPr>
                <w:rFonts w:ascii="宋体" w:hAnsi="宋体"/>
                <w:i/>
                <w:iCs/>
                <w:sz w:val="18"/>
                <w:szCs w:val="18"/>
              </w:rPr>
              <w:t>a</w:t>
            </w:r>
            <w:r>
              <w:rPr>
                <w:rFonts w:hint="eastAsia" w:ascii="宋体" w:hAnsi="宋体"/>
                <w:sz w:val="18"/>
                <w:szCs w:val="18"/>
              </w:rPr>
              <w:t xml:space="preserve"> ＞10％</w:t>
            </w:r>
          </w:p>
        </w:tc>
        <w:tc>
          <w:tcPr>
            <w:tcW w:w="867" w:type="pct"/>
            <w:shd w:val="clear" w:color="auto" w:fill="auto"/>
            <w:vAlign w:val="center"/>
          </w:tcPr>
          <w:p w14:paraId="2C8A137E">
            <w:pPr>
              <w:pStyle w:val="231"/>
              <w:spacing w:before="156" w:after="156"/>
              <w:jc w:val="center"/>
              <w:rPr>
                <w:rFonts w:hint="eastAsia" w:hAnsi="宋体"/>
                <w:color w:val="auto"/>
                <w:sz w:val="18"/>
                <w:szCs w:val="18"/>
              </w:rPr>
            </w:pPr>
            <w:r>
              <w:rPr>
                <w:rFonts w:hAnsi="宋体"/>
                <w:color w:val="auto"/>
                <w:sz w:val="18"/>
                <w:szCs w:val="18"/>
              </w:rPr>
              <w:t>≤285</w:t>
            </w:r>
          </w:p>
        </w:tc>
        <w:tc>
          <w:tcPr>
            <w:tcW w:w="867" w:type="pct"/>
            <w:shd w:val="clear" w:color="auto" w:fill="auto"/>
            <w:vAlign w:val="center"/>
          </w:tcPr>
          <w:p w14:paraId="481A9C18">
            <w:pPr>
              <w:spacing w:line="240" w:lineRule="auto"/>
              <w:jc w:val="center"/>
              <w:rPr>
                <w:rFonts w:hint="eastAsia" w:hAnsi="宋体"/>
                <w:sz w:val="18"/>
                <w:szCs w:val="18"/>
              </w:rPr>
            </w:pPr>
            <w:r>
              <w:rPr>
                <w:rFonts w:hint="eastAsia" w:ascii="宋体" w:hAnsi="宋体"/>
                <w:sz w:val="18"/>
                <w:szCs w:val="18"/>
              </w:rPr>
              <w:t>≤ 250</w:t>
            </w:r>
          </w:p>
        </w:tc>
        <w:tc>
          <w:tcPr>
            <w:tcW w:w="866" w:type="pct"/>
            <w:shd w:val="clear" w:color="auto" w:fill="auto"/>
            <w:vAlign w:val="center"/>
          </w:tcPr>
          <w:p w14:paraId="3FE31DF5">
            <w:pPr>
              <w:pStyle w:val="231"/>
              <w:spacing w:before="156" w:after="156"/>
              <w:jc w:val="center"/>
              <w:rPr>
                <w:rFonts w:hint="eastAsia" w:hAnsi="宋体"/>
                <w:color w:val="auto"/>
                <w:sz w:val="18"/>
                <w:szCs w:val="18"/>
              </w:rPr>
            </w:pPr>
            <w:r>
              <w:rPr>
                <w:rFonts w:hAnsi="宋体"/>
                <w:color w:val="auto"/>
                <w:sz w:val="18"/>
                <w:szCs w:val="18"/>
              </w:rPr>
              <w:t>≤300</w:t>
            </w:r>
          </w:p>
        </w:tc>
        <w:tc>
          <w:tcPr>
            <w:tcW w:w="874" w:type="pct"/>
            <w:shd w:val="clear" w:color="auto" w:fill="auto"/>
            <w:vAlign w:val="center"/>
          </w:tcPr>
          <w:p w14:paraId="070126A9">
            <w:pPr>
              <w:spacing w:line="240" w:lineRule="auto"/>
              <w:jc w:val="center"/>
              <w:rPr>
                <w:rFonts w:hint="eastAsia" w:hAnsi="宋体"/>
                <w:sz w:val="18"/>
                <w:szCs w:val="18"/>
              </w:rPr>
            </w:pPr>
            <w:r>
              <w:rPr>
                <w:rFonts w:hint="eastAsia" w:ascii="宋体" w:hAnsi="宋体"/>
                <w:sz w:val="18"/>
                <w:szCs w:val="18"/>
              </w:rPr>
              <w:t>≤ 270</w:t>
            </w:r>
          </w:p>
        </w:tc>
      </w:tr>
      <w:tr w14:paraId="1E102C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5000" w:type="pct"/>
            <w:gridSpan w:val="5"/>
            <w:shd w:val="clear" w:color="auto" w:fill="auto"/>
            <w:vAlign w:val="center"/>
          </w:tcPr>
          <w:p w14:paraId="4EF70AC5">
            <w:pPr>
              <w:pStyle w:val="183"/>
              <w:numPr>
                <w:ilvl w:val="0"/>
                <w:numId w:val="42"/>
              </w:numPr>
            </w:pPr>
            <w:r>
              <w:rPr>
                <w:i/>
                <w:iCs/>
              </w:rPr>
              <w:t>a</w:t>
            </w:r>
            <w:r>
              <w:rPr>
                <w:rFonts w:hint="eastAsia"/>
              </w:rPr>
              <w:t>为陶瓷砖的吸水率。</w:t>
            </w:r>
          </w:p>
          <w:p w14:paraId="76650F7D">
            <w:pPr>
              <w:pStyle w:val="183"/>
            </w:pPr>
            <w:r>
              <w:t>电力折标准煤系数</w:t>
            </w:r>
            <w:r>
              <w:rPr>
                <w:rFonts w:hint="eastAsia"/>
              </w:rPr>
              <w:t>采用0.1229</w:t>
            </w:r>
            <w:r>
              <w:t xml:space="preserve"> </w:t>
            </w:r>
            <w:r>
              <w:rPr>
                <w:rFonts w:hint="eastAsia"/>
              </w:rPr>
              <w:t>kgce</w:t>
            </w:r>
            <w:r>
              <w:rPr>
                <w:spacing w:val="20"/>
              </w:rPr>
              <w:t>/</w:t>
            </w:r>
            <w:r>
              <w:t>kW·h</w:t>
            </w:r>
            <w:r>
              <w:rPr>
                <w:rFonts w:hint="eastAsia"/>
                <w:spacing w:val="20"/>
              </w:rPr>
              <w:t>。</w:t>
            </w:r>
          </w:p>
        </w:tc>
      </w:tr>
    </w:tbl>
    <w:p w14:paraId="6D7A331F">
      <w:pPr>
        <w:pStyle w:val="108"/>
        <w:spacing w:before="156" w:after="156"/>
      </w:pPr>
      <w:bookmarkStart w:id="497" w:name="_Toc492372489"/>
      <w:bookmarkStart w:id="498" w:name="_Toc496771320"/>
      <w:bookmarkStart w:id="499" w:name="_Toc17105"/>
      <w:bookmarkStart w:id="500" w:name="_Toc3266"/>
      <w:bookmarkStart w:id="501" w:name="_Toc175690958"/>
      <w:bookmarkStart w:id="502" w:name="_Toc492372635"/>
      <w:bookmarkStart w:id="503" w:name="_Toc496881057"/>
      <w:bookmarkStart w:id="504" w:name="_Toc502760524"/>
      <w:bookmarkStart w:id="505" w:name="_Toc175504972"/>
      <w:bookmarkStart w:id="506" w:name="_Toc9341"/>
      <w:r>
        <w:rPr>
          <w:rFonts w:hint="eastAsia"/>
        </w:rPr>
        <w:t>含镍生铁</w:t>
      </w:r>
      <w:bookmarkEnd w:id="497"/>
      <w:bookmarkEnd w:id="498"/>
      <w:bookmarkEnd w:id="499"/>
      <w:bookmarkEnd w:id="500"/>
      <w:bookmarkEnd w:id="501"/>
      <w:bookmarkEnd w:id="502"/>
      <w:bookmarkEnd w:id="503"/>
      <w:bookmarkEnd w:id="504"/>
      <w:bookmarkEnd w:id="505"/>
      <w:bookmarkEnd w:id="506"/>
    </w:p>
    <w:p w14:paraId="0408287F">
      <w:pPr>
        <w:pStyle w:val="68"/>
        <w:spacing w:before="156" w:after="156"/>
      </w:pPr>
      <w:bookmarkStart w:id="507" w:name="_Toc482862497"/>
      <w:bookmarkEnd w:id="507"/>
      <w:r>
        <w:rPr>
          <w:rFonts w:hint="eastAsia"/>
        </w:rPr>
        <w:t>适用对象</w:t>
      </w:r>
    </w:p>
    <w:p w14:paraId="480649E8">
      <w:pPr>
        <w:pStyle w:val="59"/>
        <w:ind w:firstLine="420"/>
      </w:pPr>
      <w:r>
        <w:rPr>
          <w:rFonts w:hint="eastAsia"/>
        </w:rPr>
        <w:t>适用于以氧化镍矿（红土镍矿）为原料生产含镍生铁单位产品能耗的计算、考核与评价。不适用于以硫化镍为原料生产含镍生铁产品的企业。</w:t>
      </w:r>
    </w:p>
    <w:p w14:paraId="344E24D8">
      <w:pPr>
        <w:pStyle w:val="68"/>
        <w:spacing w:before="156" w:after="156"/>
      </w:pPr>
      <w:r>
        <w:rPr>
          <w:rFonts w:hint="eastAsia"/>
        </w:rPr>
        <w:t>含镍生铁单位产品综合能耗限定值和准入值</w:t>
      </w:r>
    </w:p>
    <w:p w14:paraId="34E84AF6">
      <w:pPr>
        <w:pStyle w:val="59"/>
        <w:ind w:firstLine="420"/>
      </w:pPr>
      <w:r>
        <w:rPr>
          <w:rFonts w:hint="eastAsia"/>
        </w:rPr>
        <w:t>现有企业含镍生铁单位产品综合能耗限定值，新建企业、现有企业</w:t>
      </w:r>
      <w:r>
        <w:t>改扩建</w:t>
      </w:r>
      <w:r>
        <w:rPr>
          <w:rFonts w:hint="eastAsia"/>
        </w:rPr>
        <w:t>项目含镍生铁单位产品综合能耗准入值应符合表21的规定。</w:t>
      </w:r>
    </w:p>
    <w:p w14:paraId="4E9086B3">
      <w:pPr>
        <w:pStyle w:val="115"/>
        <w:spacing w:before="156" w:after="156"/>
        <w:rPr>
          <w:rFonts w:hint="eastAsia" w:hAnsi="黑体"/>
        </w:rPr>
      </w:pPr>
      <w:r>
        <w:rPr>
          <w:rFonts w:hint="eastAsia"/>
        </w:rPr>
        <w:t>含镍生铁单位产品综合能耗限定值和准入值</w:t>
      </w:r>
    </w:p>
    <w:tbl>
      <w:tblPr>
        <w:tblStyle w:val="28"/>
        <w:tblW w:w="5008"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61"/>
        <w:gridCol w:w="3958"/>
        <w:gridCol w:w="3970"/>
      </w:tblGrid>
      <w:tr w14:paraId="67F0A8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69" w:hRule="atLeast"/>
          <w:jc w:val="center"/>
        </w:trPr>
        <w:tc>
          <w:tcPr>
            <w:tcW w:w="778" w:type="pct"/>
            <w:tcBorders>
              <w:top w:val="single" w:color="auto" w:sz="8" w:space="0"/>
              <w:bottom w:val="single" w:color="auto" w:sz="8" w:space="0"/>
            </w:tcBorders>
            <w:shd w:val="clear" w:color="auto" w:fill="auto"/>
            <w:vAlign w:val="center"/>
          </w:tcPr>
          <w:p w14:paraId="198C57DF">
            <w:pPr>
              <w:spacing w:line="240" w:lineRule="auto"/>
              <w:jc w:val="center"/>
              <w:rPr>
                <w:rFonts w:hint="eastAsia" w:ascii="宋体" w:hAnsi="宋体"/>
                <w:sz w:val="18"/>
                <w:szCs w:val="18"/>
              </w:rPr>
            </w:pPr>
            <w:r>
              <w:rPr>
                <w:rFonts w:hint="eastAsia" w:ascii="宋体" w:hAnsi="宋体"/>
                <w:sz w:val="18"/>
                <w:szCs w:val="18"/>
              </w:rPr>
              <w:t>项目</w:t>
            </w:r>
          </w:p>
        </w:tc>
        <w:tc>
          <w:tcPr>
            <w:tcW w:w="2108" w:type="pct"/>
            <w:tcBorders>
              <w:top w:val="single" w:color="auto" w:sz="8" w:space="0"/>
              <w:bottom w:val="single" w:color="auto" w:sz="8" w:space="0"/>
            </w:tcBorders>
            <w:shd w:val="clear" w:color="auto" w:fill="auto"/>
            <w:vAlign w:val="center"/>
          </w:tcPr>
          <w:p w14:paraId="3813CD7E">
            <w:pPr>
              <w:spacing w:line="240" w:lineRule="auto"/>
              <w:jc w:val="center"/>
              <w:rPr>
                <w:rFonts w:hint="eastAsia" w:ascii="宋体" w:hAnsi="宋体"/>
                <w:sz w:val="18"/>
                <w:szCs w:val="18"/>
              </w:rPr>
            </w:pPr>
            <w:r>
              <w:rPr>
                <w:rFonts w:hint="eastAsia" w:ascii="宋体" w:hAnsi="宋体"/>
                <w:sz w:val="18"/>
                <w:szCs w:val="18"/>
              </w:rPr>
              <w:t>单位产品综合能耗限定值</w:t>
            </w:r>
          </w:p>
          <w:p w14:paraId="6ABF3F8D">
            <w:pPr>
              <w:spacing w:line="240" w:lineRule="auto"/>
              <w:jc w:val="center"/>
              <w:rPr>
                <w:rFonts w:hint="eastAsia" w:ascii="宋体" w:hAnsi="宋体"/>
                <w:sz w:val="18"/>
                <w:szCs w:val="18"/>
              </w:rPr>
            </w:pPr>
            <w:r>
              <w:rPr>
                <w:rFonts w:hint="eastAsia" w:ascii="宋体" w:hAnsi="宋体"/>
                <w:sz w:val="18"/>
                <w:szCs w:val="18"/>
              </w:rPr>
              <w:t>kgce/t</w:t>
            </w:r>
          </w:p>
        </w:tc>
        <w:tc>
          <w:tcPr>
            <w:tcW w:w="2113" w:type="pct"/>
            <w:tcBorders>
              <w:top w:val="single" w:color="auto" w:sz="8" w:space="0"/>
              <w:bottom w:val="single" w:color="auto" w:sz="8" w:space="0"/>
            </w:tcBorders>
            <w:shd w:val="clear" w:color="auto" w:fill="auto"/>
            <w:vAlign w:val="center"/>
          </w:tcPr>
          <w:p w14:paraId="45F5E9D3">
            <w:pPr>
              <w:spacing w:line="240" w:lineRule="auto"/>
              <w:jc w:val="center"/>
              <w:rPr>
                <w:rFonts w:hint="eastAsia" w:ascii="宋体" w:hAnsi="宋体"/>
                <w:sz w:val="18"/>
                <w:szCs w:val="18"/>
              </w:rPr>
            </w:pPr>
            <w:r>
              <w:rPr>
                <w:rFonts w:hint="eastAsia" w:ascii="宋体" w:hAnsi="宋体"/>
                <w:sz w:val="18"/>
                <w:szCs w:val="18"/>
              </w:rPr>
              <w:t>单位产品综合能耗准入值</w:t>
            </w:r>
          </w:p>
          <w:p w14:paraId="0618292F">
            <w:pPr>
              <w:spacing w:line="240" w:lineRule="auto"/>
              <w:jc w:val="center"/>
              <w:rPr>
                <w:rFonts w:hint="eastAsia" w:ascii="宋体" w:hAnsi="宋体"/>
                <w:sz w:val="18"/>
                <w:szCs w:val="18"/>
              </w:rPr>
            </w:pPr>
            <w:r>
              <w:rPr>
                <w:rFonts w:hint="eastAsia" w:ascii="宋体" w:hAnsi="宋体"/>
                <w:sz w:val="18"/>
                <w:szCs w:val="18"/>
              </w:rPr>
              <w:t>kgce/t</w:t>
            </w:r>
          </w:p>
        </w:tc>
      </w:tr>
      <w:tr w14:paraId="5F4C90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69" w:hRule="atLeast"/>
          <w:jc w:val="center"/>
        </w:trPr>
        <w:tc>
          <w:tcPr>
            <w:tcW w:w="778" w:type="pct"/>
            <w:tcBorders>
              <w:top w:val="single" w:color="auto" w:sz="8" w:space="0"/>
              <w:bottom w:val="single" w:color="auto" w:sz="8" w:space="0"/>
            </w:tcBorders>
            <w:shd w:val="clear" w:color="auto" w:fill="auto"/>
            <w:vAlign w:val="center"/>
          </w:tcPr>
          <w:p w14:paraId="167441C0">
            <w:pPr>
              <w:spacing w:line="240" w:lineRule="auto"/>
              <w:jc w:val="center"/>
              <w:rPr>
                <w:rFonts w:hint="eastAsia" w:ascii="宋体" w:hAnsi="宋体"/>
                <w:sz w:val="18"/>
                <w:szCs w:val="18"/>
              </w:rPr>
            </w:pPr>
            <w:r>
              <w:rPr>
                <w:rFonts w:hint="eastAsia" w:ascii="宋体" w:hAnsi="宋体"/>
                <w:kern w:val="0"/>
                <w:sz w:val="18"/>
                <w:szCs w:val="18"/>
              </w:rPr>
              <w:t>含镍生铁</w:t>
            </w:r>
          </w:p>
        </w:tc>
        <w:tc>
          <w:tcPr>
            <w:tcW w:w="2108" w:type="pct"/>
            <w:tcBorders>
              <w:top w:val="single" w:color="auto" w:sz="8" w:space="0"/>
              <w:bottom w:val="single" w:color="auto" w:sz="8" w:space="0"/>
            </w:tcBorders>
            <w:shd w:val="clear" w:color="auto" w:fill="auto"/>
            <w:vAlign w:val="center"/>
          </w:tcPr>
          <w:p w14:paraId="050B1EB2">
            <w:pPr>
              <w:spacing w:line="240" w:lineRule="auto"/>
              <w:jc w:val="center"/>
              <w:rPr>
                <w:rFonts w:hint="eastAsia" w:ascii="宋体" w:hAnsi="宋体"/>
                <w:sz w:val="18"/>
                <w:szCs w:val="18"/>
              </w:rPr>
            </w:pPr>
            <w:r>
              <w:rPr>
                <w:rFonts w:hint="eastAsia" w:ascii="宋体" w:hAnsi="宋体"/>
                <w:sz w:val="18"/>
                <w:szCs w:val="18"/>
              </w:rPr>
              <w:t>≤ 1680</w:t>
            </w:r>
          </w:p>
        </w:tc>
        <w:tc>
          <w:tcPr>
            <w:tcW w:w="2113" w:type="pct"/>
            <w:tcBorders>
              <w:top w:val="single" w:color="auto" w:sz="8" w:space="0"/>
              <w:bottom w:val="single" w:color="auto" w:sz="8" w:space="0"/>
            </w:tcBorders>
            <w:shd w:val="clear" w:color="auto" w:fill="auto"/>
            <w:vAlign w:val="center"/>
          </w:tcPr>
          <w:p w14:paraId="16A55222">
            <w:pPr>
              <w:spacing w:line="240" w:lineRule="auto"/>
              <w:jc w:val="center"/>
              <w:rPr>
                <w:rFonts w:hint="eastAsia" w:ascii="宋体" w:hAnsi="宋体"/>
                <w:sz w:val="18"/>
                <w:szCs w:val="18"/>
              </w:rPr>
            </w:pPr>
            <w:r>
              <w:rPr>
                <w:rFonts w:hint="eastAsia" w:ascii="宋体" w:hAnsi="宋体"/>
                <w:sz w:val="18"/>
                <w:szCs w:val="18"/>
              </w:rPr>
              <w:t>≤ 1560</w:t>
            </w:r>
          </w:p>
        </w:tc>
      </w:tr>
      <w:tr w14:paraId="7781A9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69" w:hRule="atLeast"/>
          <w:jc w:val="center"/>
        </w:trPr>
        <w:tc>
          <w:tcPr>
            <w:tcW w:w="5000" w:type="pct"/>
            <w:gridSpan w:val="3"/>
            <w:tcBorders>
              <w:top w:val="single" w:color="auto" w:sz="8" w:space="0"/>
            </w:tcBorders>
            <w:shd w:val="clear" w:color="auto" w:fill="auto"/>
            <w:vAlign w:val="center"/>
          </w:tcPr>
          <w:p w14:paraId="173F61A6">
            <w:pPr>
              <w:pStyle w:val="183"/>
              <w:numPr>
                <w:ilvl w:val="0"/>
                <w:numId w:val="43"/>
              </w:numPr>
            </w:pPr>
            <w:r>
              <w:rPr>
                <w:rFonts w:hint="eastAsia" w:hAnsi="宋体"/>
              </w:rPr>
              <w:t>合格产品镍含量基准值为10％，每±1％，准入值相应±50</w:t>
            </w:r>
            <w:r>
              <w:rPr>
                <w:rFonts w:hAnsi="宋体"/>
              </w:rPr>
              <w:t xml:space="preserve"> </w:t>
            </w:r>
            <w:r>
              <w:rPr>
                <w:rFonts w:eastAsia="F5"/>
              </w:rPr>
              <w:t>kgce/t</w:t>
            </w:r>
            <w:r>
              <w:rPr>
                <w:rFonts w:hint="eastAsia"/>
              </w:rPr>
              <w:t>；</w:t>
            </w:r>
          </w:p>
          <w:p w14:paraId="7591DABE">
            <w:pPr>
              <w:pStyle w:val="183"/>
              <w:rPr>
                <w:rFonts w:hint="eastAsia" w:hAnsi="宋体"/>
              </w:rPr>
            </w:pPr>
            <w:r>
              <w:t>电力折标准煤系数</w:t>
            </w:r>
            <w:r>
              <w:rPr>
                <w:rFonts w:hint="eastAsia"/>
              </w:rPr>
              <w:t>采用</w:t>
            </w:r>
            <w:r>
              <w:t>0.1229 kgce</w:t>
            </w:r>
            <w:r>
              <w:rPr>
                <w:rFonts w:hint="eastAsia"/>
              </w:rPr>
              <w:t>/kW</w:t>
            </w:r>
            <w:r>
              <w:t>·</w:t>
            </w:r>
            <w:r>
              <w:rPr>
                <w:rFonts w:hint="eastAsia"/>
              </w:rPr>
              <w:t>h。</w:t>
            </w:r>
          </w:p>
        </w:tc>
      </w:tr>
    </w:tbl>
    <w:p w14:paraId="44422570">
      <w:pPr>
        <w:pStyle w:val="108"/>
        <w:spacing w:before="156" w:after="156"/>
      </w:pPr>
      <w:bookmarkStart w:id="508" w:name="_Toc2462"/>
      <w:bookmarkStart w:id="509" w:name="_Toc492372490"/>
      <w:bookmarkStart w:id="510" w:name="_Toc378"/>
      <w:bookmarkStart w:id="511" w:name="_Toc492372636"/>
      <w:bookmarkStart w:id="512" w:name="_Toc496881058"/>
      <w:bookmarkStart w:id="513" w:name="_Toc22125"/>
      <w:bookmarkStart w:id="514" w:name="_Toc496771321"/>
      <w:bookmarkStart w:id="515" w:name="_Toc502760525"/>
      <w:bookmarkStart w:id="516" w:name="_Toc175504973"/>
      <w:bookmarkStart w:id="517" w:name="_Toc175690959"/>
      <w:r>
        <w:rPr>
          <w:rFonts w:hint="eastAsia"/>
        </w:rPr>
        <w:t>粗钢</w:t>
      </w:r>
      <w:bookmarkEnd w:id="508"/>
      <w:bookmarkEnd w:id="509"/>
      <w:bookmarkEnd w:id="510"/>
      <w:bookmarkEnd w:id="511"/>
      <w:bookmarkEnd w:id="512"/>
      <w:bookmarkEnd w:id="513"/>
      <w:bookmarkEnd w:id="514"/>
      <w:bookmarkEnd w:id="515"/>
      <w:bookmarkEnd w:id="516"/>
      <w:bookmarkEnd w:id="517"/>
    </w:p>
    <w:p w14:paraId="38A31A6C">
      <w:pPr>
        <w:pStyle w:val="68"/>
        <w:spacing w:before="156" w:after="156"/>
      </w:pPr>
      <w:bookmarkStart w:id="518" w:name="_Toc482862498"/>
      <w:bookmarkEnd w:id="518"/>
      <w:r>
        <w:rPr>
          <w:rFonts w:hint="eastAsia"/>
        </w:rPr>
        <w:t>适用对象</w:t>
      </w:r>
    </w:p>
    <w:p w14:paraId="643967D1">
      <w:pPr>
        <w:pStyle w:val="59"/>
        <w:spacing w:before="156" w:after="156"/>
        <w:ind w:firstLine="420"/>
      </w:pPr>
      <w:r>
        <w:rPr>
          <w:rFonts w:hint="eastAsia"/>
        </w:rPr>
        <w:t>适用于钢铁企业进行烧结工序、球团工序、高炉工序和转炉工序单位产品能耗的统计计算、</w:t>
      </w:r>
      <w:r>
        <w:t>评价以及新建项目的能耗控制。</w:t>
      </w:r>
    </w:p>
    <w:p w14:paraId="09509AD1">
      <w:pPr>
        <w:pStyle w:val="68"/>
        <w:spacing w:before="156" w:after="156"/>
      </w:pPr>
      <w:r>
        <w:rPr>
          <w:rFonts w:hint="eastAsia"/>
        </w:rPr>
        <w:t>粗钢生产主要工序单位产品综合能耗限定值和准入值</w:t>
      </w:r>
    </w:p>
    <w:p w14:paraId="744FE7E3">
      <w:pPr>
        <w:pStyle w:val="59"/>
        <w:ind w:firstLine="420"/>
      </w:pPr>
      <w:r>
        <w:t>现有钢铁企业生产过程中，烧结工序、球团工序、高炉工序和转炉工序的单位产品</w:t>
      </w:r>
      <w:r>
        <w:rPr>
          <w:rFonts w:hint="eastAsia"/>
        </w:rPr>
        <w:t>综合</w:t>
      </w:r>
      <w:r>
        <w:t>能耗限定值</w:t>
      </w:r>
      <w:r>
        <w:rPr>
          <w:rFonts w:hint="eastAsia"/>
        </w:rPr>
        <w:t>，</w:t>
      </w:r>
      <w:r>
        <w:t>钢铁企业新建或改扩建烧结机、球团生产设备、高炉和转炉时，其工序单位产品</w:t>
      </w:r>
      <w:r>
        <w:rPr>
          <w:rFonts w:hint="eastAsia"/>
        </w:rPr>
        <w:t>综合</w:t>
      </w:r>
      <w:r>
        <w:t>能耗准入值应符合表</w:t>
      </w:r>
      <w:r>
        <w:rPr>
          <w:rFonts w:hint="eastAsia" w:hAnsi="宋体"/>
        </w:rPr>
        <w:t>22</w:t>
      </w:r>
      <w:r>
        <w:t>的要求</w:t>
      </w:r>
      <w:r>
        <w:rPr>
          <w:rFonts w:hint="eastAsia"/>
        </w:rPr>
        <w:t>。</w:t>
      </w:r>
    </w:p>
    <w:p w14:paraId="387FF6DC">
      <w:pPr>
        <w:pStyle w:val="59"/>
        <w:ind w:firstLine="420"/>
      </w:pPr>
    </w:p>
    <w:p w14:paraId="202E3874">
      <w:pPr>
        <w:pStyle w:val="59"/>
        <w:ind w:firstLine="420"/>
      </w:pPr>
    </w:p>
    <w:p w14:paraId="28388E83">
      <w:pPr>
        <w:pStyle w:val="59"/>
        <w:ind w:firstLine="420"/>
      </w:pPr>
    </w:p>
    <w:p w14:paraId="1CBFFF4C">
      <w:pPr>
        <w:pStyle w:val="115"/>
        <w:spacing w:before="156" w:after="156"/>
      </w:pPr>
      <w:r>
        <w:rPr>
          <w:rFonts w:hint="eastAsia"/>
        </w:rPr>
        <w:t>粗钢生产主要工序单位产品综合能耗限定值和准入值</w:t>
      </w:r>
    </w:p>
    <w:tbl>
      <w:tblPr>
        <w:tblStyle w:val="28"/>
        <w:tblW w:w="5060" w:type="pct"/>
        <w:jc w:val="center"/>
        <w:tblLayout w:type="autofit"/>
        <w:tblCellMar>
          <w:top w:w="0" w:type="dxa"/>
          <w:left w:w="0" w:type="dxa"/>
          <w:bottom w:w="0" w:type="dxa"/>
          <w:right w:w="0" w:type="dxa"/>
        </w:tblCellMar>
      </w:tblPr>
      <w:tblGrid>
        <w:gridCol w:w="4069"/>
        <w:gridCol w:w="2696"/>
        <w:gridCol w:w="2721"/>
      </w:tblGrid>
      <w:tr w14:paraId="6546769B">
        <w:tblPrEx>
          <w:tblCellMar>
            <w:top w:w="0" w:type="dxa"/>
            <w:left w:w="0" w:type="dxa"/>
            <w:bottom w:w="0" w:type="dxa"/>
            <w:right w:w="0" w:type="dxa"/>
          </w:tblCellMar>
        </w:tblPrEx>
        <w:trPr>
          <w:trHeight w:val="312" w:hRule="atLeast"/>
          <w:jc w:val="center"/>
        </w:trPr>
        <w:tc>
          <w:tcPr>
            <w:tcW w:w="2145" w:type="pct"/>
            <w:tcBorders>
              <w:top w:val="single" w:color="auto" w:sz="8" w:space="0"/>
              <w:left w:val="single" w:color="auto" w:sz="8" w:space="0"/>
              <w:bottom w:val="single" w:color="auto" w:sz="8" w:space="0"/>
              <w:right w:val="single" w:color="auto" w:sz="4" w:space="0"/>
            </w:tcBorders>
            <w:shd w:val="clear" w:color="auto" w:fill="auto"/>
            <w:vAlign w:val="center"/>
          </w:tcPr>
          <w:p w14:paraId="0CB1D9EF">
            <w:pPr>
              <w:spacing w:line="240" w:lineRule="auto"/>
              <w:ind w:right="-212" w:rightChars="-101"/>
              <w:jc w:val="center"/>
              <w:rPr>
                <w:rFonts w:hint="eastAsia" w:ascii="宋体" w:hAnsi="宋体"/>
                <w:sz w:val="18"/>
                <w:szCs w:val="18"/>
              </w:rPr>
            </w:pPr>
            <w:r>
              <w:rPr>
                <w:rFonts w:hint="eastAsia" w:ascii="宋体" w:hAnsi="宋体"/>
                <w:sz w:val="18"/>
                <w:szCs w:val="18"/>
              </w:rPr>
              <w:t>工序名称</w:t>
            </w:r>
          </w:p>
        </w:tc>
        <w:tc>
          <w:tcPr>
            <w:tcW w:w="2696" w:type="dxa"/>
            <w:tcBorders>
              <w:top w:val="single" w:color="auto" w:sz="8" w:space="0"/>
              <w:left w:val="nil"/>
              <w:bottom w:val="single" w:color="auto" w:sz="8" w:space="0"/>
              <w:right w:val="single" w:color="auto" w:sz="8" w:space="0"/>
            </w:tcBorders>
            <w:shd w:val="clear" w:color="auto" w:fill="auto"/>
            <w:vAlign w:val="center"/>
          </w:tcPr>
          <w:p w14:paraId="1E0258B4">
            <w:pPr>
              <w:spacing w:line="240" w:lineRule="auto"/>
              <w:ind w:right="-212" w:rightChars="-101"/>
              <w:jc w:val="center"/>
              <w:rPr>
                <w:rFonts w:hint="eastAsia" w:ascii="宋体" w:hAnsi="宋体"/>
                <w:sz w:val="18"/>
                <w:szCs w:val="18"/>
              </w:rPr>
            </w:pPr>
            <w:r>
              <w:rPr>
                <w:rFonts w:hint="eastAsia" w:ascii="宋体" w:hAnsi="宋体"/>
                <w:sz w:val="18"/>
                <w:szCs w:val="18"/>
              </w:rPr>
              <w:t>单位产品综合能耗限定值</w:t>
            </w:r>
          </w:p>
          <w:p w14:paraId="5B11B1AE">
            <w:pPr>
              <w:spacing w:line="240" w:lineRule="auto"/>
              <w:ind w:right="-212" w:rightChars="-101"/>
              <w:jc w:val="center"/>
              <w:rPr>
                <w:rFonts w:hint="eastAsia" w:ascii="宋体" w:hAnsi="宋体"/>
                <w:sz w:val="18"/>
                <w:szCs w:val="18"/>
              </w:rPr>
            </w:pPr>
            <w:r>
              <w:rPr>
                <w:rFonts w:hint="eastAsia" w:ascii="宋体" w:hAnsi="宋体"/>
                <w:sz w:val="18"/>
                <w:szCs w:val="18"/>
              </w:rPr>
              <w:t>kgce/t</w:t>
            </w:r>
          </w:p>
        </w:tc>
        <w:tc>
          <w:tcPr>
            <w:tcW w:w="2721" w:type="dxa"/>
            <w:tcBorders>
              <w:top w:val="single" w:color="auto" w:sz="8" w:space="0"/>
              <w:left w:val="nil"/>
              <w:bottom w:val="single" w:color="auto" w:sz="8" w:space="0"/>
              <w:right w:val="single" w:color="auto" w:sz="8" w:space="0"/>
            </w:tcBorders>
            <w:shd w:val="clear" w:color="auto" w:fill="auto"/>
            <w:vAlign w:val="center"/>
          </w:tcPr>
          <w:p w14:paraId="50DA3434">
            <w:pPr>
              <w:spacing w:line="240" w:lineRule="auto"/>
              <w:ind w:right="-212" w:rightChars="-101"/>
              <w:jc w:val="center"/>
              <w:rPr>
                <w:rFonts w:hint="eastAsia" w:ascii="宋体" w:hAnsi="宋体"/>
                <w:sz w:val="18"/>
                <w:szCs w:val="18"/>
              </w:rPr>
            </w:pPr>
            <w:r>
              <w:rPr>
                <w:rFonts w:hint="eastAsia" w:ascii="宋体" w:hAnsi="宋体"/>
                <w:sz w:val="18"/>
                <w:szCs w:val="18"/>
              </w:rPr>
              <w:t>单位产品综合能耗准入值</w:t>
            </w:r>
          </w:p>
          <w:p w14:paraId="5E11A07B">
            <w:pPr>
              <w:spacing w:line="240" w:lineRule="auto"/>
              <w:ind w:right="-212" w:rightChars="-101"/>
              <w:jc w:val="center"/>
              <w:rPr>
                <w:rFonts w:hint="eastAsia" w:ascii="宋体" w:hAnsi="宋体"/>
                <w:sz w:val="18"/>
                <w:szCs w:val="18"/>
              </w:rPr>
            </w:pPr>
            <w:r>
              <w:rPr>
                <w:rFonts w:hint="eastAsia" w:ascii="宋体" w:hAnsi="宋体"/>
                <w:sz w:val="18"/>
                <w:szCs w:val="18"/>
              </w:rPr>
              <w:t>kgce/t</w:t>
            </w:r>
          </w:p>
        </w:tc>
      </w:tr>
      <w:tr w14:paraId="64BBB777">
        <w:tblPrEx>
          <w:tblCellMar>
            <w:top w:w="0" w:type="dxa"/>
            <w:left w:w="0" w:type="dxa"/>
            <w:bottom w:w="0" w:type="dxa"/>
            <w:right w:w="0" w:type="dxa"/>
          </w:tblCellMar>
        </w:tblPrEx>
        <w:trPr>
          <w:trHeight w:val="312" w:hRule="atLeast"/>
          <w:jc w:val="center"/>
        </w:trPr>
        <w:tc>
          <w:tcPr>
            <w:tcW w:w="2145" w:type="pct"/>
            <w:tcBorders>
              <w:top w:val="single" w:color="auto" w:sz="8" w:space="0"/>
              <w:left w:val="single" w:color="auto" w:sz="8" w:space="0"/>
              <w:bottom w:val="single" w:color="auto" w:sz="4" w:space="0"/>
              <w:right w:val="single" w:color="auto" w:sz="4" w:space="0"/>
            </w:tcBorders>
            <w:shd w:val="clear" w:color="auto" w:fill="auto"/>
            <w:vAlign w:val="center"/>
          </w:tcPr>
          <w:p w14:paraId="5B411609">
            <w:pPr>
              <w:spacing w:line="240" w:lineRule="auto"/>
              <w:ind w:right="-212" w:rightChars="-101"/>
              <w:jc w:val="center"/>
              <w:rPr>
                <w:rFonts w:hint="eastAsia" w:ascii="宋体" w:hAnsi="宋体"/>
                <w:sz w:val="18"/>
                <w:szCs w:val="18"/>
              </w:rPr>
            </w:pPr>
            <w:r>
              <w:rPr>
                <w:rFonts w:hint="eastAsia" w:ascii="宋体" w:hAnsi="宋体"/>
                <w:sz w:val="18"/>
                <w:szCs w:val="18"/>
              </w:rPr>
              <w:t>烧结工序</w:t>
            </w:r>
            <w:r>
              <w:rPr>
                <w:rFonts w:ascii="宋体" w:hAnsi="宋体"/>
                <w:sz w:val="18"/>
                <w:szCs w:val="18"/>
                <w:vertAlign w:val="superscript"/>
              </w:rPr>
              <w:t>a</w:t>
            </w:r>
          </w:p>
        </w:tc>
        <w:tc>
          <w:tcPr>
            <w:tcW w:w="2696" w:type="dxa"/>
            <w:tcBorders>
              <w:top w:val="single" w:color="auto" w:sz="8" w:space="0"/>
              <w:left w:val="nil"/>
              <w:bottom w:val="single" w:color="auto" w:sz="4" w:space="0"/>
              <w:right w:val="single" w:color="auto" w:sz="8" w:space="0"/>
            </w:tcBorders>
            <w:shd w:val="clear" w:color="auto" w:fill="auto"/>
            <w:vAlign w:val="center"/>
          </w:tcPr>
          <w:p w14:paraId="6AF74F87">
            <w:pPr>
              <w:spacing w:line="240" w:lineRule="auto"/>
              <w:ind w:right="-212" w:rightChars="-101"/>
              <w:jc w:val="center"/>
              <w:rPr>
                <w:rFonts w:hint="eastAsia" w:ascii="宋体" w:hAnsi="宋体"/>
                <w:sz w:val="18"/>
                <w:szCs w:val="18"/>
              </w:rPr>
            </w:pPr>
            <w:r>
              <w:rPr>
                <w:rFonts w:hint="eastAsia" w:ascii="宋体" w:hAnsi="宋体"/>
                <w:sz w:val="18"/>
                <w:szCs w:val="18"/>
              </w:rPr>
              <w:t>≤ 53</w:t>
            </w:r>
          </w:p>
        </w:tc>
        <w:tc>
          <w:tcPr>
            <w:tcW w:w="2721" w:type="dxa"/>
            <w:tcBorders>
              <w:top w:val="single" w:color="auto" w:sz="8" w:space="0"/>
              <w:left w:val="nil"/>
              <w:bottom w:val="single" w:color="auto" w:sz="4" w:space="0"/>
              <w:right w:val="single" w:color="auto" w:sz="8" w:space="0"/>
            </w:tcBorders>
            <w:shd w:val="clear" w:color="auto" w:fill="auto"/>
            <w:vAlign w:val="center"/>
          </w:tcPr>
          <w:p w14:paraId="2CB2DC57">
            <w:pPr>
              <w:spacing w:line="240" w:lineRule="auto"/>
              <w:ind w:right="-212" w:rightChars="-101"/>
              <w:jc w:val="center"/>
              <w:rPr>
                <w:rFonts w:hint="eastAsia" w:ascii="宋体" w:hAnsi="宋体"/>
                <w:sz w:val="18"/>
                <w:szCs w:val="18"/>
              </w:rPr>
            </w:pPr>
            <w:r>
              <w:rPr>
                <w:rFonts w:hint="eastAsia" w:ascii="宋体" w:hAnsi="宋体"/>
                <w:sz w:val="18"/>
                <w:szCs w:val="18"/>
              </w:rPr>
              <w:t>≤ 48</w:t>
            </w:r>
          </w:p>
        </w:tc>
      </w:tr>
      <w:tr w14:paraId="7C5252B0">
        <w:tblPrEx>
          <w:tblCellMar>
            <w:top w:w="0" w:type="dxa"/>
            <w:left w:w="0" w:type="dxa"/>
            <w:bottom w:w="0" w:type="dxa"/>
            <w:right w:w="0" w:type="dxa"/>
          </w:tblCellMar>
        </w:tblPrEx>
        <w:trPr>
          <w:trHeight w:val="312" w:hRule="atLeast"/>
          <w:jc w:val="center"/>
        </w:trPr>
        <w:tc>
          <w:tcPr>
            <w:tcW w:w="2145" w:type="pct"/>
            <w:tcBorders>
              <w:top w:val="single" w:color="auto" w:sz="4" w:space="0"/>
              <w:left w:val="single" w:color="auto" w:sz="8" w:space="0"/>
              <w:bottom w:val="single" w:color="auto" w:sz="4" w:space="0"/>
              <w:right w:val="single" w:color="auto" w:sz="4" w:space="0"/>
            </w:tcBorders>
            <w:shd w:val="clear" w:color="auto" w:fill="auto"/>
            <w:vAlign w:val="center"/>
          </w:tcPr>
          <w:p w14:paraId="107A4379">
            <w:pPr>
              <w:spacing w:line="240" w:lineRule="auto"/>
              <w:ind w:right="-212" w:rightChars="-101"/>
              <w:jc w:val="center"/>
              <w:rPr>
                <w:rFonts w:hint="eastAsia" w:ascii="宋体" w:hAnsi="宋体"/>
                <w:sz w:val="18"/>
                <w:szCs w:val="18"/>
              </w:rPr>
            </w:pPr>
            <w:r>
              <w:rPr>
                <w:rFonts w:hint="eastAsia" w:ascii="宋体" w:hAnsi="宋体"/>
                <w:sz w:val="18"/>
                <w:szCs w:val="18"/>
              </w:rPr>
              <w:t>球团工序</w:t>
            </w:r>
          </w:p>
        </w:tc>
        <w:tc>
          <w:tcPr>
            <w:tcW w:w="2696" w:type="dxa"/>
            <w:tcBorders>
              <w:top w:val="single" w:color="auto" w:sz="4" w:space="0"/>
              <w:left w:val="nil"/>
              <w:bottom w:val="single" w:color="auto" w:sz="4" w:space="0"/>
              <w:right w:val="single" w:color="auto" w:sz="8" w:space="0"/>
            </w:tcBorders>
            <w:shd w:val="clear" w:color="auto" w:fill="auto"/>
            <w:vAlign w:val="center"/>
          </w:tcPr>
          <w:p w14:paraId="3D7B3A5F">
            <w:pPr>
              <w:spacing w:line="240" w:lineRule="auto"/>
              <w:ind w:right="-212" w:rightChars="-101"/>
              <w:jc w:val="center"/>
              <w:rPr>
                <w:rFonts w:hint="eastAsia" w:ascii="宋体" w:hAnsi="宋体"/>
                <w:sz w:val="18"/>
                <w:szCs w:val="18"/>
              </w:rPr>
            </w:pPr>
            <w:r>
              <w:rPr>
                <w:rFonts w:hint="eastAsia" w:ascii="宋体" w:hAnsi="宋体"/>
                <w:sz w:val="18"/>
                <w:szCs w:val="18"/>
              </w:rPr>
              <w:t>≤ 34</w:t>
            </w:r>
          </w:p>
        </w:tc>
        <w:tc>
          <w:tcPr>
            <w:tcW w:w="2721" w:type="dxa"/>
            <w:tcBorders>
              <w:top w:val="single" w:color="auto" w:sz="4" w:space="0"/>
              <w:left w:val="nil"/>
              <w:bottom w:val="single" w:color="auto" w:sz="4" w:space="0"/>
              <w:right w:val="single" w:color="auto" w:sz="8" w:space="0"/>
            </w:tcBorders>
            <w:shd w:val="clear" w:color="auto" w:fill="auto"/>
            <w:vAlign w:val="center"/>
          </w:tcPr>
          <w:p w14:paraId="3B7B17F1">
            <w:pPr>
              <w:spacing w:line="240" w:lineRule="auto"/>
              <w:ind w:right="-212" w:rightChars="-101"/>
              <w:jc w:val="center"/>
              <w:rPr>
                <w:rFonts w:hint="eastAsia" w:ascii="宋体" w:hAnsi="宋体"/>
                <w:sz w:val="18"/>
                <w:szCs w:val="18"/>
              </w:rPr>
            </w:pPr>
            <w:r>
              <w:rPr>
                <w:rFonts w:hint="eastAsia" w:ascii="宋体" w:hAnsi="宋体"/>
                <w:sz w:val="18"/>
                <w:szCs w:val="18"/>
              </w:rPr>
              <w:t>≤ 22</w:t>
            </w:r>
          </w:p>
        </w:tc>
      </w:tr>
      <w:tr w14:paraId="1442DF78">
        <w:tblPrEx>
          <w:tblCellMar>
            <w:top w:w="0" w:type="dxa"/>
            <w:left w:w="0" w:type="dxa"/>
            <w:bottom w:w="0" w:type="dxa"/>
            <w:right w:w="0" w:type="dxa"/>
          </w:tblCellMar>
        </w:tblPrEx>
        <w:trPr>
          <w:trHeight w:val="312" w:hRule="atLeast"/>
          <w:jc w:val="center"/>
        </w:trPr>
        <w:tc>
          <w:tcPr>
            <w:tcW w:w="2145" w:type="pct"/>
            <w:tcBorders>
              <w:top w:val="single" w:color="auto" w:sz="4" w:space="0"/>
              <w:left w:val="single" w:color="auto" w:sz="8" w:space="0"/>
              <w:bottom w:val="single" w:color="auto" w:sz="4" w:space="0"/>
              <w:right w:val="single" w:color="auto" w:sz="4" w:space="0"/>
            </w:tcBorders>
            <w:shd w:val="clear" w:color="auto" w:fill="auto"/>
            <w:vAlign w:val="center"/>
          </w:tcPr>
          <w:p w14:paraId="7D3B177B">
            <w:pPr>
              <w:spacing w:line="240" w:lineRule="auto"/>
              <w:ind w:right="-212" w:rightChars="-101"/>
              <w:jc w:val="center"/>
              <w:rPr>
                <w:rFonts w:hint="eastAsia" w:ascii="宋体" w:hAnsi="宋体"/>
                <w:sz w:val="18"/>
                <w:szCs w:val="18"/>
              </w:rPr>
            </w:pPr>
            <w:r>
              <w:rPr>
                <w:rFonts w:hint="eastAsia" w:ascii="宋体" w:hAnsi="宋体"/>
                <w:sz w:val="18"/>
                <w:szCs w:val="18"/>
              </w:rPr>
              <w:t>高炉工序</w:t>
            </w:r>
          </w:p>
        </w:tc>
        <w:tc>
          <w:tcPr>
            <w:tcW w:w="2696" w:type="dxa"/>
            <w:tcBorders>
              <w:top w:val="single" w:color="auto" w:sz="4" w:space="0"/>
              <w:left w:val="nil"/>
              <w:bottom w:val="single" w:color="auto" w:sz="4" w:space="0"/>
              <w:right w:val="single" w:color="auto" w:sz="8" w:space="0"/>
            </w:tcBorders>
            <w:shd w:val="clear" w:color="auto" w:fill="auto"/>
            <w:vAlign w:val="center"/>
          </w:tcPr>
          <w:p w14:paraId="5F00B91A">
            <w:pPr>
              <w:spacing w:line="240" w:lineRule="auto"/>
              <w:ind w:right="-212" w:rightChars="-101"/>
              <w:jc w:val="center"/>
              <w:rPr>
                <w:rFonts w:hint="eastAsia" w:ascii="宋体" w:hAnsi="宋体"/>
                <w:sz w:val="18"/>
                <w:szCs w:val="18"/>
              </w:rPr>
            </w:pPr>
            <w:r>
              <w:rPr>
                <w:rFonts w:hint="eastAsia" w:ascii="宋体" w:hAnsi="宋体"/>
                <w:sz w:val="18"/>
                <w:szCs w:val="18"/>
              </w:rPr>
              <w:t>≤ 426</w:t>
            </w:r>
          </w:p>
        </w:tc>
        <w:tc>
          <w:tcPr>
            <w:tcW w:w="2721" w:type="dxa"/>
            <w:tcBorders>
              <w:top w:val="single" w:color="auto" w:sz="4" w:space="0"/>
              <w:left w:val="nil"/>
              <w:bottom w:val="single" w:color="auto" w:sz="4" w:space="0"/>
              <w:right w:val="single" w:color="auto" w:sz="8" w:space="0"/>
            </w:tcBorders>
            <w:shd w:val="clear" w:color="auto" w:fill="auto"/>
            <w:vAlign w:val="center"/>
          </w:tcPr>
          <w:p w14:paraId="39C9F82E">
            <w:pPr>
              <w:spacing w:line="240" w:lineRule="auto"/>
              <w:ind w:right="-212" w:rightChars="-101"/>
              <w:jc w:val="center"/>
              <w:rPr>
                <w:rFonts w:hint="eastAsia" w:ascii="宋体" w:hAnsi="宋体"/>
                <w:sz w:val="18"/>
                <w:szCs w:val="18"/>
              </w:rPr>
            </w:pPr>
            <w:r>
              <w:rPr>
                <w:rFonts w:hint="eastAsia" w:ascii="宋体" w:hAnsi="宋体"/>
                <w:sz w:val="18"/>
                <w:szCs w:val="18"/>
              </w:rPr>
              <w:t>≤ 370</w:t>
            </w:r>
          </w:p>
        </w:tc>
      </w:tr>
      <w:tr w14:paraId="741C4FB8">
        <w:tblPrEx>
          <w:tblCellMar>
            <w:top w:w="0" w:type="dxa"/>
            <w:left w:w="0" w:type="dxa"/>
            <w:bottom w:w="0" w:type="dxa"/>
            <w:right w:w="0" w:type="dxa"/>
          </w:tblCellMar>
        </w:tblPrEx>
        <w:trPr>
          <w:trHeight w:val="312" w:hRule="atLeast"/>
          <w:jc w:val="center"/>
        </w:trPr>
        <w:tc>
          <w:tcPr>
            <w:tcW w:w="2145" w:type="pct"/>
            <w:tcBorders>
              <w:top w:val="single" w:color="auto" w:sz="4" w:space="0"/>
              <w:left w:val="single" w:color="auto" w:sz="8" w:space="0"/>
              <w:bottom w:val="single" w:color="auto" w:sz="4" w:space="0"/>
              <w:right w:val="single" w:color="auto" w:sz="4" w:space="0"/>
            </w:tcBorders>
            <w:shd w:val="clear" w:color="auto" w:fill="auto"/>
            <w:vAlign w:val="center"/>
          </w:tcPr>
          <w:p w14:paraId="6483C181">
            <w:pPr>
              <w:spacing w:line="240" w:lineRule="auto"/>
              <w:ind w:right="-212" w:rightChars="-101"/>
              <w:jc w:val="center"/>
              <w:rPr>
                <w:rFonts w:hint="eastAsia" w:ascii="宋体" w:hAnsi="宋体"/>
                <w:sz w:val="18"/>
                <w:szCs w:val="18"/>
              </w:rPr>
            </w:pPr>
            <w:r>
              <w:rPr>
                <w:rFonts w:hint="eastAsia" w:ascii="宋体" w:hAnsi="宋体"/>
                <w:sz w:val="18"/>
                <w:szCs w:val="18"/>
              </w:rPr>
              <w:t>转炉工序</w:t>
            </w:r>
          </w:p>
        </w:tc>
        <w:tc>
          <w:tcPr>
            <w:tcW w:w="2696" w:type="dxa"/>
            <w:tcBorders>
              <w:top w:val="single" w:color="auto" w:sz="4" w:space="0"/>
              <w:left w:val="nil"/>
              <w:bottom w:val="single" w:color="auto" w:sz="4" w:space="0"/>
              <w:right w:val="single" w:color="auto" w:sz="8" w:space="0"/>
            </w:tcBorders>
            <w:shd w:val="clear" w:color="auto" w:fill="auto"/>
            <w:vAlign w:val="center"/>
          </w:tcPr>
          <w:p w14:paraId="2DA35392">
            <w:pPr>
              <w:spacing w:line="240" w:lineRule="auto"/>
              <w:ind w:right="-212" w:rightChars="-101"/>
              <w:jc w:val="center"/>
              <w:rPr>
                <w:rFonts w:hint="eastAsia" w:ascii="宋体" w:hAnsi="宋体"/>
                <w:sz w:val="18"/>
                <w:szCs w:val="18"/>
              </w:rPr>
            </w:pPr>
            <w:r>
              <w:rPr>
                <w:rFonts w:hint="eastAsia" w:ascii="宋体" w:hAnsi="宋体"/>
                <w:sz w:val="18"/>
                <w:szCs w:val="18"/>
              </w:rPr>
              <w:t>≤ -12</w:t>
            </w:r>
          </w:p>
        </w:tc>
        <w:tc>
          <w:tcPr>
            <w:tcW w:w="2721" w:type="dxa"/>
            <w:tcBorders>
              <w:top w:val="single" w:color="auto" w:sz="4" w:space="0"/>
              <w:left w:val="nil"/>
              <w:bottom w:val="single" w:color="auto" w:sz="4" w:space="0"/>
              <w:right w:val="single" w:color="auto" w:sz="8" w:space="0"/>
            </w:tcBorders>
            <w:shd w:val="clear" w:color="auto" w:fill="auto"/>
            <w:vAlign w:val="center"/>
          </w:tcPr>
          <w:p w14:paraId="6DC9DC7B">
            <w:pPr>
              <w:spacing w:line="240" w:lineRule="auto"/>
              <w:ind w:right="-212" w:rightChars="-101"/>
              <w:jc w:val="center"/>
              <w:rPr>
                <w:rFonts w:hint="eastAsia" w:ascii="宋体" w:hAnsi="宋体"/>
                <w:sz w:val="18"/>
                <w:szCs w:val="18"/>
              </w:rPr>
            </w:pPr>
            <w:r>
              <w:rPr>
                <w:rFonts w:hint="eastAsia" w:ascii="宋体" w:hAnsi="宋体"/>
                <w:sz w:val="18"/>
                <w:szCs w:val="18"/>
              </w:rPr>
              <w:t>≤ -25</w:t>
            </w:r>
          </w:p>
        </w:tc>
      </w:tr>
      <w:tr w14:paraId="72F724CC">
        <w:tblPrEx>
          <w:tblCellMar>
            <w:top w:w="0" w:type="dxa"/>
            <w:left w:w="0" w:type="dxa"/>
            <w:bottom w:w="0" w:type="dxa"/>
            <w:right w:w="0" w:type="dxa"/>
          </w:tblCellMar>
        </w:tblPrEx>
        <w:trPr>
          <w:trHeight w:val="312" w:hRule="atLeast"/>
          <w:jc w:val="center"/>
        </w:trPr>
        <w:tc>
          <w:tcPr>
            <w:tcW w:w="5000" w:type="pct"/>
            <w:gridSpan w:val="3"/>
            <w:tcBorders>
              <w:top w:val="single" w:color="auto" w:sz="4" w:space="0"/>
              <w:left w:val="single" w:color="auto" w:sz="8" w:space="0"/>
              <w:bottom w:val="single" w:color="auto" w:sz="8" w:space="0"/>
              <w:right w:val="single" w:color="auto" w:sz="8" w:space="0"/>
            </w:tcBorders>
            <w:shd w:val="clear" w:color="auto" w:fill="auto"/>
            <w:vAlign w:val="center"/>
          </w:tcPr>
          <w:p w14:paraId="7D2B3B8D">
            <w:pPr>
              <w:pStyle w:val="183"/>
              <w:numPr>
                <w:ilvl w:val="0"/>
                <w:numId w:val="44"/>
              </w:numPr>
            </w:pPr>
            <w:r>
              <w:t>特殊用途转炉如提钒转炉、脱磷转炉、不锈钢转炉等不按此考核</w:t>
            </w:r>
            <w:r>
              <w:rPr>
                <w:rFonts w:hint="eastAsia"/>
              </w:rPr>
              <w:t>。</w:t>
            </w:r>
          </w:p>
          <w:p w14:paraId="7E989E35">
            <w:pPr>
              <w:pStyle w:val="183"/>
            </w:pPr>
            <w:r>
              <w:rPr>
                <w:rFonts w:hint="eastAsia"/>
              </w:rPr>
              <w:t>烧结原料中稀土矿、钒钛磁铁矿用量比例每增加</w:t>
            </w:r>
            <w:r>
              <w:t>1</w:t>
            </w:r>
            <w:r>
              <w:rPr>
                <w:rFonts w:hint="eastAsia"/>
              </w:rPr>
              <w:t>％，烧结工序能耗限定值/</w:t>
            </w:r>
            <w:r>
              <w:t>准入</w:t>
            </w:r>
            <w:r>
              <w:rPr>
                <w:rFonts w:hint="eastAsia"/>
              </w:rPr>
              <w:t>值在本表的基础上增加</w:t>
            </w:r>
            <w:r>
              <w:t>0.15 kgce/t</w:t>
            </w:r>
            <w:r>
              <w:rPr>
                <w:rFonts w:hint="eastAsia"/>
              </w:rPr>
              <w:t>；高炉入炉原料中稀土矿、钒钛磁铁矿用量比例每增加</w:t>
            </w:r>
            <w:r>
              <w:t>1</w:t>
            </w:r>
            <w:r>
              <w:rPr>
                <w:rFonts w:hint="eastAsia"/>
              </w:rPr>
              <w:t>％，高炉工序能耗限定值/</w:t>
            </w:r>
            <w:r>
              <w:t>准入</w:t>
            </w:r>
            <w:r>
              <w:rPr>
                <w:rFonts w:hint="eastAsia"/>
              </w:rPr>
              <w:t>值在本表的基础上增加</w:t>
            </w:r>
            <w:r>
              <w:t>0.3 kgce/t</w:t>
            </w:r>
            <w:r>
              <w:rPr>
                <w:rFonts w:hint="eastAsia"/>
              </w:rPr>
              <w:t>。</w:t>
            </w:r>
          </w:p>
          <w:p w14:paraId="3FFA5F8C">
            <w:pPr>
              <w:pStyle w:val="183"/>
            </w:pPr>
            <w:r>
              <w:t>电力折标准煤系数</w:t>
            </w:r>
            <w:r>
              <w:rPr>
                <w:rFonts w:hint="eastAsia"/>
              </w:rPr>
              <w:t>采用</w:t>
            </w:r>
            <w:r>
              <w:t>0.1229 kgce</w:t>
            </w:r>
            <w:r>
              <w:rPr>
                <w:rFonts w:hint="eastAsia"/>
              </w:rPr>
              <w:t>/kW</w:t>
            </w:r>
            <w:r>
              <w:t>·</w:t>
            </w:r>
            <w:r>
              <w:rPr>
                <w:rFonts w:hint="eastAsia"/>
              </w:rPr>
              <w:t>h。</w:t>
            </w:r>
          </w:p>
          <w:p w14:paraId="0330674A">
            <w:pPr>
              <w:pStyle w:val="183"/>
            </w:pPr>
            <w:r>
              <w:t>耗能工质折标准煤系数</w:t>
            </w:r>
            <w:r>
              <w:rPr>
                <w:rFonts w:hint="eastAsia"/>
              </w:rPr>
              <w:t>采用</w:t>
            </w:r>
            <w:r>
              <w:t>压缩空气0.0152 kgce/</w:t>
            </w:r>
            <w:r>
              <w:rPr>
                <w:rFonts w:hint="eastAsia"/>
              </w:rPr>
              <w:t>N</w:t>
            </w:r>
            <w:r>
              <w:t>m</w:t>
            </w:r>
            <w:r>
              <w:rPr>
                <w:vertAlign w:val="superscript"/>
              </w:rPr>
              <w:t>3</w:t>
            </w:r>
            <w:r>
              <w:t>、氧气0.0802 kgce/</w:t>
            </w:r>
            <w:r>
              <w:rPr>
                <w:rFonts w:hint="eastAsia"/>
              </w:rPr>
              <w:t>N</w:t>
            </w:r>
            <w:r>
              <w:t>m</w:t>
            </w:r>
            <w:r>
              <w:rPr>
                <w:vertAlign w:val="superscript"/>
              </w:rPr>
              <w:t>3</w:t>
            </w:r>
            <w:r>
              <w:t>、氮气0.0169 kgce/</w:t>
            </w:r>
            <w:r>
              <w:rPr>
                <w:rFonts w:hint="eastAsia"/>
              </w:rPr>
              <w:t>N</w:t>
            </w:r>
            <w:r>
              <w:t>m</w:t>
            </w:r>
            <w:r>
              <w:rPr>
                <w:vertAlign w:val="superscript"/>
              </w:rPr>
              <w:t>3</w:t>
            </w:r>
            <w:r>
              <w:t>、氩气0.887 kgce/</w:t>
            </w:r>
            <w:r>
              <w:rPr>
                <w:rFonts w:hint="eastAsia"/>
              </w:rPr>
              <w:t>N</w:t>
            </w:r>
            <w:r>
              <w:t>m</w:t>
            </w:r>
            <w:r>
              <w:rPr>
                <w:vertAlign w:val="superscript"/>
              </w:rPr>
              <w:t>3</w:t>
            </w:r>
            <w:r>
              <w:t>、鼓风0.0088 kgce/</w:t>
            </w:r>
            <w:r>
              <w:rPr>
                <w:rFonts w:hint="eastAsia"/>
              </w:rPr>
              <w:t>N</w:t>
            </w:r>
            <w:r>
              <w:t>m</w:t>
            </w:r>
            <w:r>
              <w:rPr>
                <w:vertAlign w:val="superscript"/>
              </w:rPr>
              <w:t>3</w:t>
            </w:r>
            <w:r>
              <w:t>、</w:t>
            </w:r>
            <w:r>
              <w:rPr>
                <w:rFonts w:hint="eastAsia"/>
              </w:rPr>
              <w:t>新水0.0414</w:t>
            </w:r>
            <w:r>
              <w:t xml:space="preserve"> kgce/</w:t>
            </w:r>
            <w:r>
              <w:rPr>
                <w:rFonts w:hint="eastAsia"/>
              </w:rPr>
              <w:t>t</w:t>
            </w:r>
            <w:r>
              <w:t>。</w:t>
            </w:r>
          </w:p>
        </w:tc>
      </w:tr>
      <w:tr w14:paraId="052D0B47">
        <w:tblPrEx>
          <w:tblCellMar>
            <w:top w:w="0" w:type="dxa"/>
            <w:left w:w="0" w:type="dxa"/>
            <w:bottom w:w="0" w:type="dxa"/>
            <w:right w:w="0" w:type="dxa"/>
          </w:tblCellMar>
        </w:tblPrEx>
        <w:trPr>
          <w:trHeight w:val="312" w:hRule="atLeast"/>
          <w:jc w:val="center"/>
        </w:trPr>
        <w:tc>
          <w:tcPr>
            <w:tcW w:w="5000" w:type="pct"/>
            <w:gridSpan w:val="3"/>
            <w:tcBorders>
              <w:top w:val="single" w:color="auto" w:sz="8" w:space="0"/>
              <w:left w:val="single" w:color="auto" w:sz="8" w:space="0"/>
              <w:bottom w:val="single" w:color="auto" w:sz="8" w:space="0"/>
              <w:right w:val="single" w:color="auto" w:sz="8" w:space="0"/>
            </w:tcBorders>
            <w:shd w:val="clear" w:color="auto" w:fill="auto"/>
            <w:vAlign w:val="center"/>
          </w:tcPr>
          <w:p w14:paraId="0E4B98AE">
            <w:pPr>
              <w:pStyle w:val="104"/>
              <w:rPr>
                <w:rFonts w:hint="eastAsia"/>
              </w:rPr>
            </w:pPr>
            <w:r>
              <w:t>烧结工序以配备烧结烟气脱硫装置且污染物排放达到国家环保排放标准GB 28662-2012的要求为基础。</w:t>
            </w:r>
          </w:p>
        </w:tc>
      </w:tr>
    </w:tbl>
    <w:p w14:paraId="2C1661E2">
      <w:pPr>
        <w:pStyle w:val="108"/>
        <w:spacing w:before="156" w:after="156"/>
      </w:pPr>
      <w:bookmarkStart w:id="519" w:name="_Toc496771322"/>
      <w:bookmarkStart w:id="520" w:name="_Toc496881059"/>
      <w:bookmarkStart w:id="521" w:name="_Toc2596"/>
      <w:bookmarkStart w:id="522" w:name="_Toc502760526"/>
      <w:bookmarkStart w:id="523" w:name="_Toc175690960"/>
      <w:bookmarkStart w:id="524" w:name="_Toc6666"/>
      <w:bookmarkStart w:id="525" w:name="_Toc6105"/>
      <w:bookmarkStart w:id="526" w:name="_Toc175504974"/>
      <w:r>
        <w:rPr>
          <w:rFonts w:hint="eastAsia"/>
        </w:rPr>
        <w:t>铸铁件</w:t>
      </w:r>
      <w:bookmarkEnd w:id="519"/>
      <w:bookmarkEnd w:id="520"/>
      <w:bookmarkEnd w:id="521"/>
      <w:bookmarkEnd w:id="522"/>
      <w:bookmarkEnd w:id="523"/>
      <w:bookmarkEnd w:id="524"/>
      <w:bookmarkEnd w:id="525"/>
      <w:bookmarkEnd w:id="526"/>
    </w:p>
    <w:p w14:paraId="71B5F2B1">
      <w:pPr>
        <w:pStyle w:val="68"/>
        <w:spacing w:before="156" w:after="156"/>
      </w:pPr>
      <w:r>
        <w:rPr>
          <w:rFonts w:hint="eastAsia"/>
        </w:rPr>
        <w:t>适用对象</w:t>
      </w:r>
    </w:p>
    <w:p w14:paraId="6C2C571A">
      <w:pPr>
        <w:pStyle w:val="59"/>
        <w:ind w:firstLine="420"/>
      </w:pPr>
      <w:r>
        <w:rPr>
          <w:rFonts w:hint="eastAsia"/>
        </w:rPr>
        <w:t>适用于铸铁件生产企业单位产品能耗的计算、考核与评价</w:t>
      </w:r>
    </w:p>
    <w:p w14:paraId="7C166260">
      <w:pPr>
        <w:pStyle w:val="68"/>
        <w:spacing w:before="156" w:after="156"/>
      </w:pPr>
      <w:r>
        <w:rPr>
          <w:rFonts w:hint="eastAsia"/>
        </w:rPr>
        <w:t>铸铁件单位产量可比综合能耗限定值和准入值</w:t>
      </w:r>
    </w:p>
    <w:p w14:paraId="01C8E64E">
      <w:pPr>
        <w:pStyle w:val="59"/>
        <w:ind w:firstLine="420"/>
      </w:pPr>
      <w:r>
        <w:rPr>
          <w:rFonts w:hint="eastAsia"/>
        </w:rPr>
        <w:t>现有企业铸铁件单位产量可比综合能耗限定值，</w:t>
      </w:r>
      <w:r>
        <w:rPr>
          <w:rFonts w:hint="eastAsia" w:hAnsi="宋体"/>
        </w:rPr>
        <w:t>新建企业、现有企业</w:t>
      </w:r>
      <w:r>
        <w:rPr>
          <w:rFonts w:hAnsi="宋体"/>
        </w:rPr>
        <w:t>改扩建</w:t>
      </w:r>
      <w:r>
        <w:rPr>
          <w:rFonts w:hint="eastAsia" w:hAnsi="宋体"/>
        </w:rPr>
        <w:t>项目</w:t>
      </w:r>
      <w:r>
        <w:rPr>
          <w:rFonts w:hint="eastAsia"/>
        </w:rPr>
        <w:t>铸铁件单位产量可比综合能耗准入值应符合表23的规定。</w:t>
      </w:r>
    </w:p>
    <w:p w14:paraId="1337E155">
      <w:pPr>
        <w:pStyle w:val="115"/>
        <w:spacing w:before="156" w:after="156"/>
      </w:pPr>
      <w:r>
        <w:rPr>
          <w:rFonts w:hint="eastAsia"/>
        </w:rPr>
        <w:t>铸铁件单位产量可比综合能耗限定值和准入值</w:t>
      </w:r>
    </w:p>
    <w:tbl>
      <w:tblPr>
        <w:tblStyle w:val="28"/>
        <w:tblW w:w="504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674"/>
        <w:gridCol w:w="3521"/>
        <w:gridCol w:w="3254"/>
      </w:tblGrid>
      <w:tr w14:paraId="7D2633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1415" w:type="pct"/>
            <w:tcBorders>
              <w:top w:val="single" w:color="auto" w:sz="8" w:space="0"/>
              <w:bottom w:val="single" w:color="auto" w:sz="8" w:space="0"/>
            </w:tcBorders>
            <w:shd w:val="clear" w:color="auto" w:fill="auto"/>
            <w:vAlign w:val="center"/>
          </w:tcPr>
          <w:p w14:paraId="61CC26B0">
            <w:pPr>
              <w:pStyle w:val="240"/>
              <w:jc w:val="center"/>
              <w:rPr>
                <w:rFonts w:hint="eastAsia" w:ascii="宋体" w:hAnsi="宋体"/>
                <w:sz w:val="18"/>
                <w:szCs w:val="18"/>
              </w:rPr>
            </w:pPr>
            <w:r>
              <w:rPr>
                <w:rFonts w:hint="eastAsia" w:ascii="宋体" w:hAnsi="宋体"/>
                <w:sz w:val="18"/>
                <w:szCs w:val="18"/>
              </w:rPr>
              <w:t>类别</w:t>
            </w:r>
          </w:p>
        </w:tc>
        <w:tc>
          <w:tcPr>
            <w:tcW w:w="1863" w:type="pct"/>
            <w:tcBorders>
              <w:top w:val="single" w:color="auto" w:sz="8" w:space="0"/>
              <w:bottom w:val="single" w:color="auto" w:sz="8" w:space="0"/>
            </w:tcBorders>
            <w:shd w:val="clear" w:color="auto" w:fill="auto"/>
            <w:vAlign w:val="center"/>
          </w:tcPr>
          <w:p w14:paraId="6FF5103E">
            <w:pPr>
              <w:pStyle w:val="240"/>
              <w:jc w:val="center"/>
              <w:rPr>
                <w:rFonts w:hint="eastAsia" w:ascii="宋体" w:hAnsi="宋体"/>
                <w:sz w:val="18"/>
                <w:szCs w:val="18"/>
              </w:rPr>
            </w:pPr>
            <w:r>
              <w:rPr>
                <w:rFonts w:hint="eastAsia" w:ascii="宋体" w:hAnsi="宋体"/>
                <w:sz w:val="18"/>
                <w:szCs w:val="18"/>
              </w:rPr>
              <w:t>单位产量可比综合能耗限定值</w:t>
            </w:r>
          </w:p>
          <w:p w14:paraId="277D005A">
            <w:pPr>
              <w:pStyle w:val="240"/>
              <w:jc w:val="center"/>
              <w:rPr>
                <w:rFonts w:hint="eastAsia" w:ascii="宋体" w:hAnsi="宋体"/>
                <w:sz w:val="18"/>
                <w:szCs w:val="18"/>
              </w:rPr>
            </w:pPr>
            <w:r>
              <w:rPr>
                <w:rFonts w:hint="eastAsia" w:ascii="宋体" w:hAnsi="宋体"/>
                <w:sz w:val="18"/>
                <w:szCs w:val="18"/>
              </w:rPr>
              <w:t>kgce/t</w:t>
            </w:r>
          </w:p>
        </w:tc>
        <w:tc>
          <w:tcPr>
            <w:tcW w:w="1721" w:type="pct"/>
            <w:tcBorders>
              <w:top w:val="single" w:color="auto" w:sz="8" w:space="0"/>
              <w:bottom w:val="single" w:color="auto" w:sz="8" w:space="0"/>
            </w:tcBorders>
            <w:shd w:val="clear" w:color="auto" w:fill="auto"/>
            <w:vAlign w:val="center"/>
          </w:tcPr>
          <w:p w14:paraId="018350D8">
            <w:pPr>
              <w:pStyle w:val="240"/>
              <w:spacing w:line="240" w:lineRule="exact"/>
              <w:jc w:val="center"/>
              <w:rPr>
                <w:rFonts w:hint="eastAsia" w:ascii="宋体" w:hAnsi="宋体"/>
                <w:sz w:val="18"/>
                <w:szCs w:val="18"/>
              </w:rPr>
            </w:pPr>
            <w:r>
              <w:rPr>
                <w:rFonts w:hint="eastAsia" w:ascii="宋体" w:hAnsi="宋体"/>
                <w:sz w:val="18"/>
                <w:szCs w:val="18"/>
              </w:rPr>
              <w:t>单位产量可比综合能耗准入值</w:t>
            </w:r>
          </w:p>
          <w:p w14:paraId="25C12146">
            <w:pPr>
              <w:pStyle w:val="240"/>
              <w:spacing w:line="240" w:lineRule="exact"/>
              <w:jc w:val="center"/>
              <w:rPr>
                <w:rFonts w:hint="eastAsia" w:ascii="宋体" w:hAnsi="宋体"/>
                <w:sz w:val="18"/>
                <w:szCs w:val="18"/>
              </w:rPr>
            </w:pPr>
            <w:r>
              <w:rPr>
                <w:rFonts w:hint="eastAsia" w:ascii="宋体" w:hAnsi="宋体"/>
                <w:sz w:val="18"/>
                <w:szCs w:val="18"/>
              </w:rPr>
              <w:t>kgce/t</w:t>
            </w:r>
          </w:p>
        </w:tc>
      </w:tr>
      <w:tr w14:paraId="105F0B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1415" w:type="pct"/>
            <w:tcBorders>
              <w:top w:val="single" w:color="auto" w:sz="8" w:space="0"/>
            </w:tcBorders>
            <w:shd w:val="clear" w:color="auto" w:fill="auto"/>
            <w:vAlign w:val="center"/>
          </w:tcPr>
          <w:p w14:paraId="3D9C305E">
            <w:pPr>
              <w:pStyle w:val="240"/>
              <w:jc w:val="center"/>
              <w:rPr>
                <w:rFonts w:hint="eastAsia" w:ascii="宋体" w:hAnsi="宋体"/>
                <w:sz w:val="18"/>
                <w:szCs w:val="18"/>
              </w:rPr>
            </w:pPr>
            <w:r>
              <w:rPr>
                <w:rFonts w:hint="eastAsia" w:ascii="宋体" w:hAnsi="宋体"/>
                <w:sz w:val="18"/>
                <w:szCs w:val="18"/>
              </w:rPr>
              <w:t>铸铁件</w:t>
            </w:r>
          </w:p>
        </w:tc>
        <w:tc>
          <w:tcPr>
            <w:tcW w:w="1863" w:type="pct"/>
            <w:tcBorders>
              <w:top w:val="single" w:color="auto" w:sz="8" w:space="0"/>
            </w:tcBorders>
            <w:shd w:val="clear" w:color="auto" w:fill="auto"/>
            <w:vAlign w:val="center"/>
          </w:tcPr>
          <w:p w14:paraId="2BF85FB0">
            <w:pPr>
              <w:pStyle w:val="240"/>
              <w:jc w:val="center"/>
              <w:rPr>
                <w:rFonts w:hint="eastAsia" w:ascii="宋体" w:hAnsi="宋体"/>
                <w:sz w:val="18"/>
                <w:szCs w:val="18"/>
              </w:rPr>
            </w:pPr>
            <w:r>
              <w:rPr>
                <w:rFonts w:hint="eastAsia" w:ascii="宋体" w:hAnsi="宋体"/>
                <w:sz w:val="18"/>
                <w:szCs w:val="18"/>
              </w:rPr>
              <w:t>≤ 255</w:t>
            </w:r>
          </w:p>
        </w:tc>
        <w:tc>
          <w:tcPr>
            <w:tcW w:w="1721" w:type="pct"/>
            <w:tcBorders>
              <w:top w:val="single" w:color="auto" w:sz="8" w:space="0"/>
            </w:tcBorders>
            <w:shd w:val="clear" w:color="auto" w:fill="auto"/>
            <w:vAlign w:val="center"/>
          </w:tcPr>
          <w:p w14:paraId="727BBF19">
            <w:pPr>
              <w:pStyle w:val="240"/>
              <w:jc w:val="center"/>
              <w:rPr>
                <w:rFonts w:hint="eastAsia" w:ascii="宋体" w:hAnsi="宋体"/>
                <w:sz w:val="18"/>
                <w:szCs w:val="18"/>
              </w:rPr>
            </w:pPr>
            <w:r>
              <w:rPr>
                <w:rFonts w:hint="eastAsia" w:ascii="宋体" w:hAnsi="宋体"/>
                <w:sz w:val="18"/>
                <w:szCs w:val="18"/>
              </w:rPr>
              <w:t>≤ 210</w:t>
            </w:r>
          </w:p>
        </w:tc>
      </w:tr>
      <w:tr w14:paraId="1058F9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5000" w:type="pct"/>
            <w:gridSpan w:val="3"/>
            <w:shd w:val="clear" w:color="auto" w:fill="auto"/>
            <w:vAlign w:val="center"/>
          </w:tcPr>
          <w:p w14:paraId="295A82CF">
            <w:pPr>
              <w:pStyle w:val="182"/>
            </w:pPr>
            <w:r>
              <w:rPr>
                <w:rFonts w:hint="eastAsia"/>
              </w:rPr>
              <w:t>新水折标准煤系数采用0.0857</w:t>
            </w:r>
            <w:r>
              <w:t xml:space="preserve"> </w:t>
            </w:r>
            <w:r>
              <w:rPr>
                <w:rFonts w:hint="eastAsia"/>
              </w:rPr>
              <w:t>kgce/t</w:t>
            </w:r>
            <w:r>
              <w:rPr>
                <w:rFonts w:hint="eastAsia"/>
                <w:spacing w:val="20"/>
              </w:rPr>
              <w:t>。</w:t>
            </w:r>
          </w:p>
        </w:tc>
      </w:tr>
    </w:tbl>
    <w:p w14:paraId="406DFC7E">
      <w:pPr>
        <w:pStyle w:val="68"/>
        <w:spacing w:before="156" w:after="156"/>
        <w:rPr>
          <w:rFonts w:hint="eastAsia" w:hAnsi="黑体" w:cs="宋体"/>
        </w:rPr>
      </w:pPr>
      <w:r>
        <w:rPr>
          <w:rFonts w:hint="eastAsia"/>
        </w:rPr>
        <w:t>铁水单位产量综合电耗和铁水单位产量综合燃料消耗限定值和准入值</w:t>
      </w:r>
    </w:p>
    <w:p w14:paraId="567C4789">
      <w:pPr>
        <w:pStyle w:val="59"/>
        <w:ind w:firstLine="420"/>
      </w:pPr>
      <w:r>
        <w:rPr>
          <w:rFonts w:hint="eastAsia"/>
        </w:rPr>
        <w:t>现有企业采用电炉、冲天炉熔炼方式时，铁水单位产量综合电耗和铁水单位产量综合燃料消耗限定值；</w:t>
      </w:r>
      <w:r>
        <w:rPr>
          <w:rFonts w:hint="eastAsia" w:hAnsi="宋体"/>
        </w:rPr>
        <w:t>新建企业、现有企业</w:t>
      </w:r>
      <w:r>
        <w:rPr>
          <w:rFonts w:hAnsi="宋体"/>
        </w:rPr>
        <w:t>改扩建</w:t>
      </w:r>
      <w:r>
        <w:rPr>
          <w:rFonts w:hint="eastAsia" w:hAnsi="宋体"/>
        </w:rPr>
        <w:t>项目</w:t>
      </w:r>
      <w:r>
        <w:rPr>
          <w:rFonts w:hint="eastAsia"/>
        </w:rPr>
        <w:t>采用电炉、冲天炉熔炼方式时，铁水单位产量综合电耗和铁水单位产量综合燃料消耗准入值应符合表24的规定。</w:t>
      </w:r>
    </w:p>
    <w:p w14:paraId="78D143D5">
      <w:pPr>
        <w:pStyle w:val="115"/>
        <w:spacing w:before="156" w:after="156"/>
      </w:pPr>
      <w:r>
        <w:rPr>
          <w:rFonts w:hint="eastAsia"/>
        </w:rPr>
        <w:t>铁水单位产量综合电耗和铁水单位产量综合燃料消耗限定值和准入值</w:t>
      </w:r>
    </w:p>
    <w:tbl>
      <w:tblPr>
        <w:tblStyle w:val="2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9"/>
        <w:gridCol w:w="2059"/>
        <w:gridCol w:w="1792"/>
        <w:gridCol w:w="1793"/>
        <w:gridCol w:w="1665"/>
        <w:gridCol w:w="1782"/>
      </w:tblGrid>
      <w:tr w14:paraId="5138A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326" w:type="pct"/>
            <w:gridSpan w:val="2"/>
            <w:vMerge w:val="restart"/>
            <w:shd w:val="clear" w:color="auto" w:fill="auto"/>
            <w:vAlign w:val="center"/>
          </w:tcPr>
          <w:p w14:paraId="0F244642">
            <w:pPr>
              <w:pStyle w:val="240"/>
              <w:jc w:val="center"/>
              <w:rPr>
                <w:rFonts w:hint="eastAsia" w:ascii="宋体" w:hAnsi="宋体"/>
                <w:sz w:val="18"/>
                <w:szCs w:val="18"/>
              </w:rPr>
            </w:pPr>
            <w:r>
              <w:rPr>
                <w:rFonts w:hint="eastAsia" w:ascii="宋体" w:hAnsi="宋体"/>
                <w:sz w:val="18"/>
                <w:szCs w:val="18"/>
              </w:rPr>
              <w:t>容量/熔化率</w:t>
            </w:r>
          </w:p>
        </w:tc>
        <w:tc>
          <w:tcPr>
            <w:tcW w:w="1873" w:type="pct"/>
            <w:gridSpan w:val="2"/>
            <w:shd w:val="clear" w:color="auto" w:fill="auto"/>
            <w:vAlign w:val="center"/>
          </w:tcPr>
          <w:p w14:paraId="7DA7F976">
            <w:pPr>
              <w:pStyle w:val="240"/>
              <w:spacing w:line="240" w:lineRule="exact"/>
              <w:jc w:val="center"/>
              <w:rPr>
                <w:rFonts w:hint="eastAsia" w:ascii="宋体" w:hAnsi="宋体"/>
                <w:sz w:val="18"/>
                <w:szCs w:val="18"/>
              </w:rPr>
            </w:pPr>
            <w:r>
              <w:rPr>
                <w:rFonts w:hint="eastAsia" w:ascii="宋体" w:hAnsi="宋体"/>
                <w:sz w:val="18"/>
                <w:szCs w:val="18"/>
              </w:rPr>
              <w:t>单位产量综合电耗</w:t>
            </w:r>
          </w:p>
          <w:p w14:paraId="301A1982">
            <w:pPr>
              <w:pStyle w:val="240"/>
              <w:spacing w:line="240" w:lineRule="exact"/>
              <w:jc w:val="center"/>
              <w:rPr>
                <w:rFonts w:hint="eastAsia" w:ascii="宋体" w:hAnsi="宋体"/>
                <w:sz w:val="18"/>
                <w:szCs w:val="18"/>
              </w:rPr>
            </w:pPr>
            <w:r>
              <w:rPr>
                <w:rFonts w:hint="eastAsia" w:ascii="宋体" w:hAnsi="宋体"/>
                <w:sz w:val="18"/>
                <w:szCs w:val="18"/>
              </w:rPr>
              <w:t>kW</w:t>
            </w:r>
            <w:r>
              <w:rPr>
                <w:rFonts w:hint="default" w:ascii="Times New Roman" w:hAnsi="Times New Roman" w:cs="Times New Roman"/>
                <w:sz w:val="18"/>
                <w:szCs w:val="18"/>
              </w:rPr>
              <w:t>·</w:t>
            </w:r>
            <w:r>
              <w:rPr>
                <w:rFonts w:hint="eastAsia" w:ascii="宋体" w:hAnsi="宋体"/>
                <w:sz w:val="18"/>
                <w:szCs w:val="18"/>
              </w:rPr>
              <w:t>h/t</w:t>
            </w:r>
          </w:p>
        </w:tc>
        <w:tc>
          <w:tcPr>
            <w:tcW w:w="1801" w:type="pct"/>
            <w:gridSpan w:val="2"/>
            <w:shd w:val="clear" w:color="auto" w:fill="auto"/>
            <w:vAlign w:val="center"/>
          </w:tcPr>
          <w:p w14:paraId="74514A98">
            <w:pPr>
              <w:pStyle w:val="240"/>
              <w:spacing w:line="240" w:lineRule="exact"/>
              <w:jc w:val="center"/>
              <w:rPr>
                <w:rFonts w:hint="eastAsia" w:ascii="宋体" w:hAnsi="宋体"/>
                <w:sz w:val="18"/>
                <w:szCs w:val="18"/>
              </w:rPr>
            </w:pPr>
            <w:r>
              <w:rPr>
                <w:rFonts w:hint="eastAsia" w:ascii="宋体" w:hAnsi="宋体"/>
                <w:sz w:val="18"/>
                <w:szCs w:val="18"/>
              </w:rPr>
              <w:t>单位产量综合燃料消耗</w:t>
            </w:r>
          </w:p>
          <w:p w14:paraId="6DA79629">
            <w:pPr>
              <w:pStyle w:val="240"/>
              <w:spacing w:line="240" w:lineRule="exact"/>
              <w:jc w:val="center"/>
              <w:rPr>
                <w:rFonts w:hint="eastAsia" w:ascii="宋体" w:hAnsi="宋体"/>
                <w:sz w:val="18"/>
                <w:szCs w:val="18"/>
              </w:rPr>
            </w:pPr>
            <w:r>
              <w:rPr>
                <w:rFonts w:hint="eastAsia" w:ascii="宋体" w:hAnsi="宋体"/>
                <w:sz w:val="18"/>
                <w:szCs w:val="18"/>
              </w:rPr>
              <w:t>kgce/t</w:t>
            </w:r>
          </w:p>
        </w:tc>
      </w:tr>
      <w:tr w14:paraId="7BCC9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326" w:type="pct"/>
            <w:gridSpan w:val="2"/>
            <w:vMerge w:val="continue"/>
            <w:shd w:val="clear" w:color="auto" w:fill="auto"/>
            <w:vAlign w:val="center"/>
          </w:tcPr>
          <w:p w14:paraId="0576C097">
            <w:pPr>
              <w:pStyle w:val="240"/>
              <w:jc w:val="center"/>
              <w:rPr>
                <w:rFonts w:hint="eastAsia" w:ascii="宋体" w:hAnsi="宋体"/>
                <w:sz w:val="18"/>
                <w:szCs w:val="18"/>
              </w:rPr>
            </w:pPr>
          </w:p>
        </w:tc>
        <w:tc>
          <w:tcPr>
            <w:tcW w:w="936" w:type="pct"/>
            <w:shd w:val="clear" w:color="auto" w:fill="auto"/>
            <w:vAlign w:val="center"/>
          </w:tcPr>
          <w:p w14:paraId="37C71A40">
            <w:pPr>
              <w:pStyle w:val="240"/>
              <w:spacing w:line="240" w:lineRule="exact"/>
              <w:jc w:val="center"/>
              <w:rPr>
                <w:rFonts w:hint="eastAsia" w:ascii="宋体" w:hAnsi="宋体"/>
                <w:sz w:val="18"/>
                <w:szCs w:val="18"/>
              </w:rPr>
            </w:pPr>
            <w:r>
              <w:rPr>
                <w:rFonts w:hint="eastAsia" w:ascii="宋体" w:hAnsi="宋体"/>
                <w:sz w:val="18"/>
                <w:szCs w:val="18"/>
              </w:rPr>
              <w:t>限定值</w:t>
            </w:r>
          </w:p>
        </w:tc>
        <w:tc>
          <w:tcPr>
            <w:tcW w:w="937" w:type="pct"/>
            <w:shd w:val="clear" w:color="auto" w:fill="auto"/>
            <w:vAlign w:val="center"/>
          </w:tcPr>
          <w:p w14:paraId="6C46E855">
            <w:pPr>
              <w:pStyle w:val="240"/>
              <w:spacing w:line="240" w:lineRule="exact"/>
              <w:jc w:val="center"/>
              <w:rPr>
                <w:rFonts w:hint="eastAsia" w:ascii="宋体" w:hAnsi="宋体"/>
                <w:sz w:val="18"/>
                <w:szCs w:val="18"/>
              </w:rPr>
            </w:pPr>
            <w:r>
              <w:rPr>
                <w:rFonts w:hint="eastAsia" w:ascii="宋体" w:hAnsi="宋体"/>
                <w:sz w:val="18"/>
                <w:szCs w:val="18"/>
              </w:rPr>
              <w:t>准入值</w:t>
            </w:r>
          </w:p>
        </w:tc>
        <w:tc>
          <w:tcPr>
            <w:tcW w:w="870" w:type="pct"/>
            <w:shd w:val="clear" w:color="auto" w:fill="auto"/>
            <w:vAlign w:val="center"/>
          </w:tcPr>
          <w:p w14:paraId="774BF1F9">
            <w:pPr>
              <w:pStyle w:val="240"/>
              <w:spacing w:line="240" w:lineRule="exact"/>
              <w:jc w:val="center"/>
              <w:rPr>
                <w:rFonts w:hint="eastAsia" w:ascii="宋体" w:hAnsi="宋体"/>
                <w:sz w:val="18"/>
                <w:szCs w:val="18"/>
              </w:rPr>
            </w:pPr>
            <w:r>
              <w:rPr>
                <w:rFonts w:hint="eastAsia" w:ascii="宋体" w:hAnsi="宋体"/>
                <w:sz w:val="18"/>
                <w:szCs w:val="18"/>
              </w:rPr>
              <w:t>限定值</w:t>
            </w:r>
          </w:p>
        </w:tc>
        <w:tc>
          <w:tcPr>
            <w:tcW w:w="931" w:type="pct"/>
            <w:shd w:val="clear" w:color="auto" w:fill="auto"/>
            <w:vAlign w:val="center"/>
          </w:tcPr>
          <w:p w14:paraId="378EC948">
            <w:pPr>
              <w:pStyle w:val="240"/>
              <w:spacing w:line="240" w:lineRule="exact"/>
              <w:jc w:val="center"/>
              <w:rPr>
                <w:rFonts w:hint="eastAsia" w:ascii="宋体" w:hAnsi="宋体"/>
                <w:sz w:val="18"/>
                <w:szCs w:val="18"/>
              </w:rPr>
            </w:pPr>
            <w:r>
              <w:rPr>
                <w:rFonts w:hint="eastAsia" w:ascii="宋体" w:hAnsi="宋体"/>
                <w:sz w:val="18"/>
                <w:szCs w:val="18"/>
              </w:rPr>
              <w:t>准入值</w:t>
            </w:r>
          </w:p>
        </w:tc>
      </w:tr>
      <w:tr w14:paraId="2F8A8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50" w:type="pct"/>
            <w:vMerge w:val="restart"/>
            <w:shd w:val="clear" w:color="auto" w:fill="auto"/>
            <w:vAlign w:val="center"/>
          </w:tcPr>
          <w:p w14:paraId="71EFB92C">
            <w:pPr>
              <w:pStyle w:val="240"/>
              <w:jc w:val="center"/>
              <w:rPr>
                <w:rFonts w:hint="eastAsia" w:ascii="宋体" w:hAnsi="宋体"/>
                <w:sz w:val="18"/>
                <w:szCs w:val="18"/>
              </w:rPr>
            </w:pPr>
            <w:r>
              <w:rPr>
                <w:rFonts w:hint="eastAsia" w:ascii="宋体" w:hAnsi="宋体"/>
                <w:sz w:val="18"/>
                <w:szCs w:val="18"/>
              </w:rPr>
              <w:t>电炉</w:t>
            </w:r>
          </w:p>
        </w:tc>
        <w:tc>
          <w:tcPr>
            <w:tcW w:w="1076" w:type="pct"/>
            <w:shd w:val="clear" w:color="auto" w:fill="auto"/>
            <w:vAlign w:val="center"/>
          </w:tcPr>
          <w:p w14:paraId="149FCACB">
            <w:pPr>
              <w:pStyle w:val="240"/>
              <w:jc w:val="center"/>
              <w:rPr>
                <w:rFonts w:hint="eastAsia" w:ascii="宋体" w:hAnsi="宋体"/>
                <w:sz w:val="18"/>
                <w:szCs w:val="18"/>
              </w:rPr>
            </w:pPr>
            <w:r>
              <w:rPr>
                <w:rFonts w:hint="eastAsia" w:ascii="宋体" w:hAnsi="宋体"/>
                <w:i/>
                <w:iCs/>
                <w:sz w:val="18"/>
                <w:szCs w:val="18"/>
              </w:rPr>
              <w:t>a</w:t>
            </w:r>
            <w:r>
              <w:rPr>
                <w:rFonts w:hint="eastAsia" w:ascii="宋体" w:hAnsi="宋体"/>
                <w:sz w:val="18"/>
                <w:szCs w:val="18"/>
              </w:rPr>
              <w:t>≤1</w:t>
            </w:r>
            <w:r>
              <w:rPr>
                <w:rFonts w:ascii="宋体" w:hAnsi="宋体"/>
                <w:sz w:val="18"/>
                <w:szCs w:val="18"/>
              </w:rPr>
              <w:t xml:space="preserve"> </w:t>
            </w:r>
            <w:r>
              <w:rPr>
                <w:rFonts w:hint="eastAsia" w:ascii="宋体" w:hAnsi="宋体"/>
                <w:sz w:val="18"/>
                <w:szCs w:val="18"/>
              </w:rPr>
              <w:t>t</w:t>
            </w:r>
          </w:p>
        </w:tc>
        <w:tc>
          <w:tcPr>
            <w:tcW w:w="936" w:type="pct"/>
            <w:shd w:val="clear" w:color="auto" w:fill="auto"/>
            <w:vAlign w:val="center"/>
          </w:tcPr>
          <w:p w14:paraId="51338052">
            <w:pPr>
              <w:pStyle w:val="240"/>
              <w:jc w:val="center"/>
              <w:rPr>
                <w:rFonts w:hint="eastAsia" w:ascii="宋体" w:hAnsi="宋体"/>
                <w:sz w:val="18"/>
                <w:szCs w:val="18"/>
              </w:rPr>
            </w:pPr>
            <w:r>
              <w:rPr>
                <w:rFonts w:hint="eastAsia" w:ascii="宋体" w:hAnsi="宋体"/>
                <w:sz w:val="18"/>
                <w:szCs w:val="18"/>
              </w:rPr>
              <w:t xml:space="preserve">≤620 </w:t>
            </w:r>
          </w:p>
        </w:tc>
        <w:tc>
          <w:tcPr>
            <w:tcW w:w="937" w:type="pct"/>
            <w:shd w:val="clear" w:color="auto" w:fill="auto"/>
            <w:vAlign w:val="center"/>
          </w:tcPr>
          <w:p w14:paraId="3FCEBAEE">
            <w:pPr>
              <w:pStyle w:val="240"/>
              <w:jc w:val="center"/>
              <w:rPr>
                <w:rFonts w:hint="eastAsia" w:ascii="宋体" w:hAnsi="宋体"/>
                <w:sz w:val="18"/>
                <w:szCs w:val="18"/>
              </w:rPr>
            </w:pPr>
            <w:r>
              <w:rPr>
                <w:rFonts w:hint="eastAsia" w:ascii="宋体" w:hAnsi="宋体"/>
                <w:sz w:val="18"/>
                <w:szCs w:val="18"/>
              </w:rPr>
              <w:t>≤600</w:t>
            </w:r>
          </w:p>
        </w:tc>
        <w:tc>
          <w:tcPr>
            <w:tcW w:w="1801" w:type="pct"/>
            <w:gridSpan w:val="2"/>
            <w:shd w:val="clear" w:color="auto" w:fill="auto"/>
            <w:vAlign w:val="center"/>
          </w:tcPr>
          <w:p w14:paraId="78E620F0">
            <w:pPr>
              <w:pStyle w:val="240"/>
              <w:jc w:val="center"/>
              <w:rPr>
                <w:rFonts w:hint="eastAsia" w:ascii="宋体" w:hAnsi="宋体"/>
                <w:sz w:val="18"/>
                <w:szCs w:val="18"/>
              </w:rPr>
            </w:pPr>
            <w:r>
              <w:rPr>
                <w:rFonts w:hint="eastAsia" w:ascii="宋体" w:hAnsi="宋体"/>
                <w:sz w:val="18"/>
                <w:szCs w:val="18"/>
              </w:rPr>
              <w:t>-</w:t>
            </w:r>
          </w:p>
        </w:tc>
      </w:tr>
      <w:tr w14:paraId="6A7C5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50" w:type="pct"/>
            <w:vMerge w:val="continue"/>
            <w:shd w:val="clear" w:color="auto" w:fill="auto"/>
            <w:vAlign w:val="center"/>
          </w:tcPr>
          <w:p w14:paraId="7074A4CD">
            <w:pPr>
              <w:widowControl/>
              <w:jc w:val="left"/>
              <w:rPr>
                <w:rFonts w:hint="eastAsia" w:ascii="宋体" w:hAnsi="宋体"/>
                <w:sz w:val="18"/>
                <w:szCs w:val="18"/>
              </w:rPr>
            </w:pPr>
          </w:p>
        </w:tc>
        <w:tc>
          <w:tcPr>
            <w:tcW w:w="1076" w:type="pct"/>
            <w:shd w:val="clear" w:color="auto" w:fill="auto"/>
            <w:vAlign w:val="center"/>
          </w:tcPr>
          <w:p w14:paraId="45E34FE6">
            <w:pPr>
              <w:pStyle w:val="240"/>
              <w:jc w:val="center"/>
              <w:rPr>
                <w:rFonts w:hint="eastAsia" w:ascii="宋体" w:hAnsi="宋体"/>
                <w:sz w:val="18"/>
                <w:szCs w:val="18"/>
              </w:rPr>
            </w:pPr>
            <w:r>
              <w:rPr>
                <w:rFonts w:hint="eastAsia" w:ascii="宋体" w:hAnsi="宋体"/>
                <w:sz w:val="18"/>
                <w:szCs w:val="18"/>
              </w:rPr>
              <w:t>1.5</w:t>
            </w:r>
            <w:r>
              <w:rPr>
                <w:rFonts w:ascii="宋体" w:hAnsi="宋体"/>
                <w:sz w:val="18"/>
                <w:szCs w:val="18"/>
              </w:rPr>
              <w:t xml:space="preserve"> </w:t>
            </w:r>
            <w:r>
              <w:rPr>
                <w:rFonts w:hint="eastAsia" w:ascii="宋体" w:hAnsi="宋体"/>
                <w:sz w:val="18"/>
                <w:szCs w:val="18"/>
              </w:rPr>
              <w:t>t</w:t>
            </w:r>
          </w:p>
        </w:tc>
        <w:tc>
          <w:tcPr>
            <w:tcW w:w="936" w:type="pct"/>
            <w:shd w:val="clear" w:color="auto" w:fill="auto"/>
            <w:vAlign w:val="center"/>
          </w:tcPr>
          <w:p w14:paraId="3C7CF51C">
            <w:pPr>
              <w:pStyle w:val="240"/>
              <w:jc w:val="center"/>
              <w:rPr>
                <w:rFonts w:hint="eastAsia" w:ascii="宋体" w:hAnsi="宋体"/>
                <w:sz w:val="18"/>
                <w:szCs w:val="18"/>
              </w:rPr>
            </w:pPr>
            <w:r>
              <w:rPr>
                <w:rFonts w:hint="eastAsia" w:ascii="宋体" w:hAnsi="宋体"/>
                <w:sz w:val="18"/>
                <w:szCs w:val="18"/>
              </w:rPr>
              <w:t xml:space="preserve">≤610 </w:t>
            </w:r>
          </w:p>
        </w:tc>
        <w:tc>
          <w:tcPr>
            <w:tcW w:w="937" w:type="pct"/>
            <w:shd w:val="clear" w:color="auto" w:fill="auto"/>
            <w:vAlign w:val="center"/>
          </w:tcPr>
          <w:p w14:paraId="20D402BF">
            <w:pPr>
              <w:pStyle w:val="240"/>
              <w:jc w:val="center"/>
              <w:rPr>
                <w:rFonts w:hint="eastAsia" w:ascii="宋体" w:hAnsi="宋体"/>
                <w:sz w:val="18"/>
                <w:szCs w:val="18"/>
              </w:rPr>
            </w:pPr>
            <w:r>
              <w:rPr>
                <w:rFonts w:hint="eastAsia" w:ascii="宋体" w:hAnsi="宋体"/>
                <w:sz w:val="18"/>
                <w:szCs w:val="18"/>
              </w:rPr>
              <w:t>≤590</w:t>
            </w:r>
          </w:p>
        </w:tc>
        <w:tc>
          <w:tcPr>
            <w:tcW w:w="1801" w:type="pct"/>
            <w:gridSpan w:val="2"/>
            <w:shd w:val="clear" w:color="auto" w:fill="auto"/>
            <w:vAlign w:val="center"/>
          </w:tcPr>
          <w:p w14:paraId="007A2F7C">
            <w:pPr>
              <w:pStyle w:val="240"/>
              <w:jc w:val="center"/>
              <w:rPr>
                <w:rFonts w:hint="eastAsia" w:ascii="宋体" w:hAnsi="宋体"/>
                <w:sz w:val="18"/>
                <w:szCs w:val="18"/>
              </w:rPr>
            </w:pPr>
            <w:r>
              <w:rPr>
                <w:rFonts w:hint="eastAsia" w:ascii="宋体" w:hAnsi="宋体"/>
                <w:sz w:val="18"/>
                <w:szCs w:val="18"/>
              </w:rPr>
              <w:t>-</w:t>
            </w:r>
          </w:p>
        </w:tc>
      </w:tr>
      <w:tr w14:paraId="4DD63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50" w:type="pct"/>
            <w:vMerge w:val="continue"/>
            <w:shd w:val="clear" w:color="auto" w:fill="auto"/>
            <w:vAlign w:val="center"/>
          </w:tcPr>
          <w:p w14:paraId="3E1DE8E2">
            <w:pPr>
              <w:widowControl/>
              <w:jc w:val="left"/>
              <w:rPr>
                <w:rFonts w:hint="eastAsia" w:ascii="宋体" w:hAnsi="宋体"/>
                <w:sz w:val="18"/>
                <w:szCs w:val="18"/>
              </w:rPr>
            </w:pPr>
          </w:p>
        </w:tc>
        <w:tc>
          <w:tcPr>
            <w:tcW w:w="1076" w:type="pct"/>
            <w:shd w:val="clear" w:color="auto" w:fill="auto"/>
            <w:vAlign w:val="center"/>
          </w:tcPr>
          <w:p w14:paraId="1C7BED10">
            <w:pPr>
              <w:pStyle w:val="240"/>
              <w:jc w:val="center"/>
              <w:rPr>
                <w:rFonts w:hint="eastAsia" w:ascii="宋体" w:hAnsi="宋体"/>
                <w:sz w:val="18"/>
                <w:szCs w:val="18"/>
              </w:rPr>
            </w:pPr>
            <w:r>
              <w:rPr>
                <w:rFonts w:hint="eastAsia" w:ascii="宋体" w:hAnsi="宋体"/>
                <w:sz w:val="18"/>
                <w:szCs w:val="18"/>
              </w:rPr>
              <w:t>2</w:t>
            </w:r>
            <w:r>
              <w:rPr>
                <w:rFonts w:ascii="宋体" w:hAnsi="宋体"/>
                <w:sz w:val="18"/>
                <w:szCs w:val="18"/>
              </w:rPr>
              <w:t xml:space="preserve"> </w:t>
            </w:r>
            <w:r>
              <w:rPr>
                <w:rFonts w:hint="eastAsia" w:ascii="宋体" w:hAnsi="宋体"/>
                <w:sz w:val="18"/>
                <w:szCs w:val="18"/>
              </w:rPr>
              <w:t>t</w:t>
            </w:r>
          </w:p>
        </w:tc>
        <w:tc>
          <w:tcPr>
            <w:tcW w:w="936" w:type="pct"/>
            <w:shd w:val="clear" w:color="auto" w:fill="auto"/>
            <w:vAlign w:val="center"/>
          </w:tcPr>
          <w:p w14:paraId="594232D0">
            <w:pPr>
              <w:pStyle w:val="240"/>
              <w:jc w:val="center"/>
              <w:rPr>
                <w:rFonts w:hint="eastAsia" w:ascii="宋体" w:hAnsi="宋体"/>
                <w:sz w:val="18"/>
                <w:szCs w:val="18"/>
              </w:rPr>
            </w:pPr>
            <w:r>
              <w:rPr>
                <w:rFonts w:hint="eastAsia" w:ascii="宋体" w:hAnsi="宋体"/>
                <w:sz w:val="18"/>
                <w:szCs w:val="18"/>
              </w:rPr>
              <w:t>≤600</w:t>
            </w:r>
          </w:p>
        </w:tc>
        <w:tc>
          <w:tcPr>
            <w:tcW w:w="937" w:type="pct"/>
            <w:shd w:val="clear" w:color="auto" w:fill="auto"/>
            <w:vAlign w:val="center"/>
          </w:tcPr>
          <w:p w14:paraId="5BA431A6">
            <w:pPr>
              <w:pStyle w:val="240"/>
              <w:jc w:val="center"/>
              <w:rPr>
                <w:rFonts w:hint="eastAsia" w:ascii="宋体" w:hAnsi="宋体"/>
                <w:sz w:val="18"/>
                <w:szCs w:val="18"/>
              </w:rPr>
            </w:pPr>
            <w:r>
              <w:rPr>
                <w:rFonts w:hint="eastAsia" w:ascii="宋体" w:hAnsi="宋体"/>
                <w:sz w:val="18"/>
                <w:szCs w:val="18"/>
              </w:rPr>
              <w:t>≤580</w:t>
            </w:r>
          </w:p>
        </w:tc>
        <w:tc>
          <w:tcPr>
            <w:tcW w:w="1801" w:type="pct"/>
            <w:gridSpan w:val="2"/>
            <w:shd w:val="clear" w:color="auto" w:fill="auto"/>
            <w:vAlign w:val="center"/>
          </w:tcPr>
          <w:p w14:paraId="45119036">
            <w:pPr>
              <w:pStyle w:val="240"/>
              <w:jc w:val="center"/>
              <w:rPr>
                <w:rFonts w:hint="eastAsia" w:ascii="宋体" w:hAnsi="宋体"/>
                <w:sz w:val="18"/>
                <w:szCs w:val="18"/>
              </w:rPr>
            </w:pPr>
            <w:r>
              <w:rPr>
                <w:rFonts w:hint="eastAsia" w:ascii="宋体" w:hAnsi="宋体"/>
                <w:sz w:val="18"/>
                <w:szCs w:val="18"/>
              </w:rPr>
              <w:t>-</w:t>
            </w:r>
          </w:p>
        </w:tc>
      </w:tr>
    </w:tbl>
    <w:p w14:paraId="2E4106B2">
      <w:pPr>
        <w:pStyle w:val="115"/>
        <w:numPr>
          <w:ilvl w:val="0"/>
          <w:numId w:val="45"/>
        </w:numPr>
        <w:spacing w:before="156" w:after="156"/>
      </w:pPr>
      <w:r>
        <w:rPr>
          <w:rFonts w:hint="eastAsia"/>
        </w:rPr>
        <w:t>铁水单位产量综合电耗和铁水单位产量综合燃料消耗限定值和准入值</w:t>
      </w:r>
      <w:r>
        <w:rPr>
          <w:rFonts w:hint="eastAsia" w:ascii="宋体" w:hAnsi="宋体" w:eastAsia="宋体"/>
        </w:rPr>
        <w:t>（续）</w:t>
      </w:r>
    </w:p>
    <w:tbl>
      <w:tblPr>
        <w:tblStyle w:val="2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9"/>
        <w:gridCol w:w="2059"/>
        <w:gridCol w:w="1792"/>
        <w:gridCol w:w="1793"/>
        <w:gridCol w:w="1665"/>
        <w:gridCol w:w="57"/>
        <w:gridCol w:w="1725"/>
      </w:tblGrid>
      <w:tr w14:paraId="22DD9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326" w:type="pct"/>
            <w:gridSpan w:val="2"/>
            <w:vMerge w:val="restart"/>
            <w:shd w:val="clear" w:color="auto" w:fill="auto"/>
            <w:vAlign w:val="center"/>
          </w:tcPr>
          <w:p w14:paraId="0FAAAFDC">
            <w:pPr>
              <w:pStyle w:val="240"/>
              <w:jc w:val="center"/>
              <w:rPr>
                <w:rFonts w:hint="eastAsia" w:ascii="宋体" w:hAnsi="宋体"/>
                <w:sz w:val="18"/>
                <w:szCs w:val="18"/>
              </w:rPr>
            </w:pPr>
            <w:r>
              <w:rPr>
                <w:rFonts w:hint="eastAsia" w:ascii="宋体" w:hAnsi="宋体"/>
                <w:sz w:val="18"/>
                <w:szCs w:val="18"/>
              </w:rPr>
              <w:t>容量/熔化率</w:t>
            </w:r>
          </w:p>
        </w:tc>
        <w:tc>
          <w:tcPr>
            <w:tcW w:w="1873" w:type="pct"/>
            <w:gridSpan w:val="2"/>
            <w:shd w:val="clear" w:color="auto" w:fill="auto"/>
            <w:vAlign w:val="center"/>
          </w:tcPr>
          <w:p w14:paraId="2229528E">
            <w:pPr>
              <w:pStyle w:val="240"/>
              <w:spacing w:line="240" w:lineRule="exact"/>
              <w:jc w:val="center"/>
              <w:rPr>
                <w:rFonts w:hint="eastAsia" w:ascii="宋体" w:hAnsi="宋体"/>
                <w:sz w:val="18"/>
                <w:szCs w:val="18"/>
              </w:rPr>
            </w:pPr>
            <w:r>
              <w:rPr>
                <w:rFonts w:hint="eastAsia" w:ascii="宋体" w:hAnsi="宋体"/>
                <w:sz w:val="18"/>
                <w:szCs w:val="18"/>
              </w:rPr>
              <w:t>单位产量综合电耗</w:t>
            </w:r>
          </w:p>
          <w:p w14:paraId="2650DDF1">
            <w:pPr>
              <w:pStyle w:val="240"/>
              <w:jc w:val="center"/>
              <w:rPr>
                <w:rFonts w:hint="eastAsia" w:ascii="宋体" w:hAnsi="宋体"/>
                <w:sz w:val="18"/>
                <w:szCs w:val="18"/>
              </w:rPr>
            </w:pPr>
            <w:r>
              <w:rPr>
                <w:rFonts w:hint="eastAsia" w:ascii="宋体" w:hAnsi="宋体"/>
                <w:sz w:val="18"/>
                <w:szCs w:val="18"/>
              </w:rPr>
              <w:t>kW</w:t>
            </w:r>
            <w:r>
              <w:rPr>
                <w:sz w:val="18"/>
              </w:rPr>
              <w:t>·</w:t>
            </w:r>
            <w:r>
              <w:rPr>
                <w:rFonts w:hint="eastAsia" w:ascii="宋体" w:hAnsi="宋体"/>
                <w:sz w:val="18"/>
                <w:szCs w:val="18"/>
              </w:rPr>
              <w:t>h/t</w:t>
            </w:r>
          </w:p>
        </w:tc>
        <w:tc>
          <w:tcPr>
            <w:tcW w:w="1801" w:type="pct"/>
            <w:gridSpan w:val="3"/>
            <w:shd w:val="clear" w:color="auto" w:fill="auto"/>
            <w:vAlign w:val="center"/>
          </w:tcPr>
          <w:p w14:paraId="075F1D8D">
            <w:pPr>
              <w:pStyle w:val="240"/>
              <w:spacing w:line="240" w:lineRule="exact"/>
              <w:jc w:val="center"/>
              <w:rPr>
                <w:rFonts w:hint="eastAsia" w:ascii="宋体" w:hAnsi="宋体"/>
                <w:sz w:val="18"/>
                <w:szCs w:val="18"/>
              </w:rPr>
            </w:pPr>
            <w:r>
              <w:rPr>
                <w:rFonts w:hint="eastAsia" w:ascii="宋体" w:hAnsi="宋体"/>
                <w:sz w:val="18"/>
                <w:szCs w:val="18"/>
              </w:rPr>
              <w:t>单位产量综合燃料消耗</w:t>
            </w:r>
          </w:p>
          <w:p w14:paraId="66FD6A22">
            <w:pPr>
              <w:pStyle w:val="240"/>
              <w:jc w:val="center"/>
              <w:rPr>
                <w:rFonts w:hint="eastAsia" w:ascii="宋体" w:hAnsi="宋体"/>
                <w:sz w:val="18"/>
                <w:szCs w:val="18"/>
              </w:rPr>
            </w:pPr>
            <w:r>
              <w:rPr>
                <w:rFonts w:hint="eastAsia" w:ascii="宋体" w:hAnsi="宋体"/>
                <w:sz w:val="18"/>
                <w:szCs w:val="18"/>
              </w:rPr>
              <w:t>kgce/t</w:t>
            </w:r>
          </w:p>
        </w:tc>
      </w:tr>
      <w:tr w14:paraId="2D4D3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326" w:type="pct"/>
            <w:gridSpan w:val="2"/>
            <w:vMerge w:val="continue"/>
            <w:shd w:val="clear" w:color="auto" w:fill="auto"/>
            <w:vAlign w:val="center"/>
          </w:tcPr>
          <w:p w14:paraId="2A25EF45">
            <w:pPr>
              <w:pStyle w:val="240"/>
              <w:jc w:val="center"/>
              <w:rPr>
                <w:rFonts w:hint="eastAsia" w:ascii="宋体" w:hAnsi="宋体"/>
                <w:sz w:val="18"/>
                <w:szCs w:val="18"/>
              </w:rPr>
            </w:pPr>
          </w:p>
        </w:tc>
        <w:tc>
          <w:tcPr>
            <w:tcW w:w="936" w:type="pct"/>
            <w:shd w:val="clear" w:color="auto" w:fill="auto"/>
            <w:vAlign w:val="center"/>
          </w:tcPr>
          <w:p w14:paraId="0C58E9C2">
            <w:pPr>
              <w:pStyle w:val="240"/>
              <w:jc w:val="center"/>
              <w:rPr>
                <w:rFonts w:hint="eastAsia" w:ascii="宋体" w:hAnsi="宋体"/>
                <w:sz w:val="18"/>
                <w:szCs w:val="18"/>
              </w:rPr>
            </w:pPr>
            <w:r>
              <w:rPr>
                <w:rFonts w:hint="eastAsia" w:ascii="宋体" w:hAnsi="宋体"/>
                <w:sz w:val="18"/>
                <w:szCs w:val="18"/>
              </w:rPr>
              <w:t>限定值</w:t>
            </w:r>
          </w:p>
        </w:tc>
        <w:tc>
          <w:tcPr>
            <w:tcW w:w="937" w:type="pct"/>
            <w:shd w:val="clear" w:color="auto" w:fill="auto"/>
            <w:vAlign w:val="center"/>
          </w:tcPr>
          <w:p w14:paraId="4A0C7A16">
            <w:pPr>
              <w:pStyle w:val="240"/>
              <w:jc w:val="center"/>
              <w:rPr>
                <w:rFonts w:hint="eastAsia" w:ascii="宋体" w:hAnsi="宋体"/>
                <w:sz w:val="18"/>
                <w:szCs w:val="18"/>
              </w:rPr>
            </w:pPr>
            <w:r>
              <w:rPr>
                <w:rFonts w:hint="eastAsia" w:ascii="宋体" w:hAnsi="宋体"/>
                <w:sz w:val="18"/>
                <w:szCs w:val="18"/>
              </w:rPr>
              <w:t>准入值</w:t>
            </w:r>
          </w:p>
        </w:tc>
        <w:tc>
          <w:tcPr>
            <w:tcW w:w="900" w:type="pct"/>
            <w:gridSpan w:val="2"/>
            <w:shd w:val="clear" w:color="auto" w:fill="auto"/>
            <w:vAlign w:val="center"/>
          </w:tcPr>
          <w:p w14:paraId="5BB48A30">
            <w:pPr>
              <w:pStyle w:val="240"/>
              <w:jc w:val="center"/>
              <w:rPr>
                <w:rFonts w:hint="eastAsia" w:ascii="宋体" w:hAnsi="宋体"/>
                <w:sz w:val="18"/>
                <w:szCs w:val="18"/>
              </w:rPr>
            </w:pPr>
            <w:r>
              <w:rPr>
                <w:rFonts w:hint="eastAsia" w:ascii="宋体" w:hAnsi="宋体"/>
                <w:sz w:val="18"/>
                <w:szCs w:val="18"/>
              </w:rPr>
              <w:t>限定值</w:t>
            </w:r>
          </w:p>
        </w:tc>
        <w:tc>
          <w:tcPr>
            <w:tcW w:w="901" w:type="pct"/>
            <w:shd w:val="clear" w:color="auto" w:fill="auto"/>
            <w:vAlign w:val="center"/>
          </w:tcPr>
          <w:p w14:paraId="3826385E">
            <w:pPr>
              <w:pStyle w:val="240"/>
              <w:jc w:val="center"/>
              <w:rPr>
                <w:rFonts w:hint="eastAsia" w:ascii="宋体" w:hAnsi="宋体"/>
                <w:sz w:val="18"/>
                <w:szCs w:val="18"/>
              </w:rPr>
            </w:pPr>
            <w:r>
              <w:rPr>
                <w:rFonts w:hint="eastAsia" w:ascii="宋体" w:hAnsi="宋体"/>
                <w:sz w:val="18"/>
                <w:szCs w:val="18"/>
              </w:rPr>
              <w:t>准入值</w:t>
            </w:r>
          </w:p>
        </w:tc>
      </w:tr>
      <w:tr w14:paraId="249AC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50" w:type="pct"/>
            <w:vMerge w:val="restart"/>
            <w:shd w:val="clear" w:color="auto" w:fill="auto"/>
            <w:vAlign w:val="center"/>
          </w:tcPr>
          <w:p w14:paraId="06E9BC71">
            <w:pPr>
              <w:pStyle w:val="240"/>
              <w:jc w:val="center"/>
              <w:rPr>
                <w:rFonts w:hint="eastAsia" w:ascii="宋体" w:hAnsi="宋体"/>
                <w:sz w:val="18"/>
                <w:szCs w:val="18"/>
              </w:rPr>
            </w:pPr>
            <w:r>
              <w:rPr>
                <w:rFonts w:hint="eastAsia" w:ascii="宋体" w:hAnsi="宋体"/>
                <w:sz w:val="18"/>
                <w:szCs w:val="18"/>
              </w:rPr>
              <w:t>电炉</w:t>
            </w:r>
          </w:p>
        </w:tc>
        <w:tc>
          <w:tcPr>
            <w:tcW w:w="1076" w:type="pct"/>
            <w:shd w:val="clear" w:color="auto" w:fill="auto"/>
            <w:vAlign w:val="center"/>
          </w:tcPr>
          <w:p w14:paraId="4FEEF3FF">
            <w:pPr>
              <w:pStyle w:val="240"/>
              <w:jc w:val="center"/>
              <w:rPr>
                <w:rFonts w:hint="eastAsia" w:ascii="宋体" w:hAnsi="宋体"/>
                <w:sz w:val="18"/>
                <w:szCs w:val="18"/>
              </w:rPr>
            </w:pPr>
            <w:r>
              <w:rPr>
                <w:rFonts w:hint="eastAsia" w:ascii="宋体" w:hAnsi="宋体"/>
                <w:sz w:val="18"/>
                <w:szCs w:val="18"/>
              </w:rPr>
              <w:t>3</w:t>
            </w:r>
            <w:r>
              <w:rPr>
                <w:rFonts w:ascii="宋体" w:hAnsi="宋体"/>
                <w:sz w:val="18"/>
                <w:szCs w:val="18"/>
              </w:rPr>
              <w:t xml:space="preserve"> </w:t>
            </w:r>
            <w:r>
              <w:rPr>
                <w:rFonts w:hint="eastAsia" w:ascii="宋体" w:hAnsi="宋体"/>
                <w:sz w:val="18"/>
                <w:szCs w:val="18"/>
              </w:rPr>
              <w:t>t</w:t>
            </w:r>
          </w:p>
        </w:tc>
        <w:tc>
          <w:tcPr>
            <w:tcW w:w="936" w:type="pct"/>
            <w:shd w:val="clear" w:color="auto" w:fill="auto"/>
            <w:vAlign w:val="center"/>
          </w:tcPr>
          <w:p w14:paraId="1D135947">
            <w:pPr>
              <w:pStyle w:val="240"/>
              <w:jc w:val="center"/>
              <w:rPr>
                <w:rFonts w:hint="eastAsia" w:ascii="宋体" w:hAnsi="宋体"/>
                <w:sz w:val="18"/>
                <w:szCs w:val="18"/>
              </w:rPr>
            </w:pPr>
            <w:r>
              <w:rPr>
                <w:rFonts w:hint="eastAsia" w:ascii="宋体" w:hAnsi="宋体"/>
                <w:sz w:val="18"/>
                <w:szCs w:val="18"/>
              </w:rPr>
              <w:t>≤590</w:t>
            </w:r>
          </w:p>
        </w:tc>
        <w:tc>
          <w:tcPr>
            <w:tcW w:w="937" w:type="pct"/>
            <w:shd w:val="clear" w:color="auto" w:fill="auto"/>
            <w:vAlign w:val="center"/>
          </w:tcPr>
          <w:p w14:paraId="0A54B1E4">
            <w:pPr>
              <w:pStyle w:val="240"/>
              <w:jc w:val="center"/>
              <w:rPr>
                <w:rFonts w:hint="eastAsia" w:ascii="宋体" w:hAnsi="宋体"/>
                <w:sz w:val="18"/>
                <w:szCs w:val="18"/>
              </w:rPr>
            </w:pPr>
            <w:r>
              <w:rPr>
                <w:rFonts w:hint="eastAsia" w:ascii="宋体" w:hAnsi="宋体"/>
                <w:sz w:val="18"/>
                <w:szCs w:val="18"/>
              </w:rPr>
              <w:t>≤570</w:t>
            </w:r>
          </w:p>
        </w:tc>
        <w:tc>
          <w:tcPr>
            <w:tcW w:w="1801" w:type="pct"/>
            <w:gridSpan w:val="3"/>
            <w:shd w:val="clear" w:color="auto" w:fill="auto"/>
            <w:vAlign w:val="center"/>
          </w:tcPr>
          <w:p w14:paraId="6E393B09">
            <w:pPr>
              <w:pStyle w:val="240"/>
              <w:jc w:val="center"/>
              <w:rPr>
                <w:rFonts w:hint="eastAsia" w:ascii="宋体" w:hAnsi="宋体"/>
                <w:sz w:val="18"/>
                <w:szCs w:val="18"/>
              </w:rPr>
            </w:pPr>
            <w:r>
              <w:rPr>
                <w:rFonts w:hint="eastAsia" w:ascii="宋体" w:hAnsi="宋体"/>
                <w:sz w:val="18"/>
                <w:szCs w:val="18"/>
              </w:rPr>
              <w:t>-</w:t>
            </w:r>
          </w:p>
        </w:tc>
      </w:tr>
      <w:tr w14:paraId="40D9A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250" w:type="pct"/>
            <w:vMerge w:val="continue"/>
            <w:shd w:val="clear" w:color="auto" w:fill="auto"/>
            <w:vAlign w:val="center"/>
          </w:tcPr>
          <w:p w14:paraId="60A50027">
            <w:pPr>
              <w:pStyle w:val="240"/>
              <w:jc w:val="center"/>
              <w:rPr>
                <w:rFonts w:hint="eastAsia" w:ascii="宋体" w:hAnsi="宋体"/>
                <w:sz w:val="18"/>
                <w:szCs w:val="18"/>
              </w:rPr>
            </w:pPr>
          </w:p>
        </w:tc>
        <w:tc>
          <w:tcPr>
            <w:tcW w:w="1076" w:type="pct"/>
            <w:shd w:val="clear" w:color="auto" w:fill="auto"/>
            <w:vAlign w:val="center"/>
          </w:tcPr>
          <w:p w14:paraId="3503CEB5">
            <w:pPr>
              <w:pStyle w:val="240"/>
              <w:jc w:val="center"/>
              <w:rPr>
                <w:rFonts w:hint="eastAsia" w:ascii="宋体" w:hAnsi="宋体"/>
                <w:sz w:val="18"/>
                <w:szCs w:val="18"/>
              </w:rPr>
            </w:pPr>
            <w:r>
              <w:rPr>
                <w:rFonts w:hint="eastAsia" w:ascii="宋体" w:hAnsi="宋体"/>
                <w:i/>
                <w:iCs/>
                <w:sz w:val="18"/>
                <w:szCs w:val="18"/>
              </w:rPr>
              <w:t>a</w:t>
            </w:r>
            <w:r>
              <w:rPr>
                <w:rFonts w:hint="eastAsia" w:ascii="宋体" w:hAnsi="宋体"/>
                <w:sz w:val="18"/>
                <w:szCs w:val="18"/>
              </w:rPr>
              <w:t>≥5</w:t>
            </w:r>
            <w:r>
              <w:rPr>
                <w:rFonts w:ascii="宋体" w:hAnsi="宋体"/>
                <w:sz w:val="18"/>
                <w:szCs w:val="18"/>
              </w:rPr>
              <w:t xml:space="preserve"> </w:t>
            </w:r>
            <w:r>
              <w:rPr>
                <w:rFonts w:hint="eastAsia" w:ascii="宋体" w:hAnsi="宋体"/>
                <w:sz w:val="18"/>
                <w:szCs w:val="18"/>
              </w:rPr>
              <w:t>t</w:t>
            </w:r>
          </w:p>
        </w:tc>
        <w:tc>
          <w:tcPr>
            <w:tcW w:w="936" w:type="pct"/>
            <w:shd w:val="clear" w:color="auto" w:fill="auto"/>
            <w:vAlign w:val="center"/>
          </w:tcPr>
          <w:p w14:paraId="6E1DB6DD">
            <w:pPr>
              <w:pStyle w:val="240"/>
              <w:jc w:val="center"/>
              <w:rPr>
                <w:rFonts w:hint="eastAsia" w:ascii="宋体" w:hAnsi="宋体"/>
                <w:sz w:val="18"/>
                <w:szCs w:val="18"/>
              </w:rPr>
            </w:pPr>
            <w:r>
              <w:rPr>
                <w:rFonts w:hint="eastAsia" w:ascii="宋体" w:hAnsi="宋体"/>
                <w:sz w:val="18"/>
                <w:szCs w:val="18"/>
              </w:rPr>
              <w:t>≤580</w:t>
            </w:r>
          </w:p>
        </w:tc>
        <w:tc>
          <w:tcPr>
            <w:tcW w:w="937" w:type="pct"/>
            <w:shd w:val="clear" w:color="auto" w:fill="auto"/>
            <w:vAlign w:val="center"/>
          </w:tcPr>
          <w:p w14:paraId="04FD3692">
            <w:pPr>
              <w:pStyle w:val="240"/>
              <w:jc w:val="center"/>
              <w:rPr>
                <w:rFonts w:hint="eastAsia" w:ascii="宋体" w:hAnsi="宋体"/>
                <w:sz w:val="18"/>
                <w:szCs w:val="18"/>
              </w:rPr>
            </w:pPr>
            <w:r>
              <w:rPr>
                <w:rFonts w:hint="eastAsia" w:ascii="宋体" w:hAnsi="宋体"/>
                <w:sz w:val="18"/>
                <w:szCs w:val="18"/>
              </w:rPr>
              <w:t>≤560</w:t>
            </w:r>
          </w:p>
        </w:tc>
        <w:tc>
          <w:tcPr>
            <w:tcW w:w="1801" w:type="pct"/>
            <w:gridSpan w:val="3"/>
            <w:shd w:val="clear" w:color="auto" w:fill="auto"/>
            <w:vAlign w:val="center"/>
          </w:tcPr>
          <w:p w14:paraId="0123434E">
            <w:pPr>
              <w:pStyle w:val="240"/>
              <w:jc w:val="center"/>
              <w:rPr>
                <w:rFonts w:hint="eastAsia" w:ascii="宋体" w:hAnsi="宋体"/>
                <w:sz w:val="18"/>
                <w:szCs w:val="18"/>
              </w:rPr>
            </w:pPr>
            <w:r>
              <w:rPr>
                <w:rFonts w:hint="eastAsia" w:ascii="宋体" w:hAnsi="宋体"/>
                <w:sz w:val="18"/>
                <w:szCs w:val="18"/>
              </w:rPr>
              <w:t>-</w:t>
            </w:r>
          </w:p>
        </w:tc>
      </w:tr>
      <w:tr w14:paraId="5B8E6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0" w:type="pct"/>
            <w:vMerge w:val="restart"/>
            <w:shd w:val="clear" w:color="auto" w:fill="auto"/>
            <w:vAlign w:val="center"/>
          </w:tcPr>
          <w:p w14:paraId="78DB5205">
            <w:pPr>
              <w:pStyle w:val="240"/>
              <w:jc w:val="center"/>
              <w:rPr>
                <w:rFonts w:hint="eastAsia" w:ascii="宋体" w:hAnsi="宋体"/>
                <w:sz w:val="18"/>
                <w:szCs w:val="18"/>
              </w:rPr>
            </w:pPr>
            <w:r>
              <w:rPr>
                <w:rFonts w:hint="eastAsia" w:ascii="宋体" w:hAnsi="宋体"/>
                <w:sz w:val="18"/>
                <w:szCs w:val="18"/>
              </w:rPr>
              <w:t>冲天炉</w:t>
            </w:r>
          </w:p>
        </w:tc>
        <w:tc>
          <w:tcPr>
            <w:tcW w:w="1076" w:type="pct"/>
            <w:shd w:val="clear" w:color="auto" w:fill="auto"/>
            <w:vAlign w:val="center"/>
          </w:tcPr>
          <w:p w14:paraId="10E69111">
            <w:pPr>
              <w:pStyle w:val="240"/>
              <w:jc w:val="center"/>
              <w:rPr>
                <w:rFonts w:hint="eastAsia" w:ascii="宋体" w:hAnsi="宋体"/>
                <w:sz w:val="18"/>
                <w:szCs w:val="18"/>
              </w:rPr>
            </w:pPr>
            <w:r>
              <w:rPr>
                <w:rFonts w:hint="eastAsia" w:ascii="宋体" w:hAnsi="宋体"/>
                <w:sz w:val="18"/>
                <w:szCs w:val="18"/>
              </w:rPr>
              <w:t>5</w:t>
            </w:r>
            <w:r>
              <w:rPr>
                <w:rFonts w:ascii="宋体" w:hAnsi="宋体"/>
                <w:sz w:val="18"/>
                <w:szCs w:val="18"/>
              </w:rPr>
              <w:t xml:space="preserve"> </w:t>
            </w:r>
            <w:r>
              <w:rPr>
                <w:rFonts w:hint="eastAsia" w:ascii="宋体" w:hAnsi="宋体"/>
                <w:sz w:val="18"/>
                <w:szCs w:val="18"/>
              </w:rPr>
              <w:t>t/h＜</w:t>
            </w:r>
            <w:r>
              <w:rPr>
                <w:rFonts w:hint="eastAsia" w:ascii="宋体" w:hAnsi="宋体"/>
                <w:i/>
                <w:iCs/>
                <w:sz w:val="18"/>
                <w:szCs w:val="18"/>
              </w:rPr>
              <w:t>b</w:t>
            </w:r>
            <w:r>
              <w:rPr>
                <w:rFonts w:hint="eastAsia" w:ascii="宋体" w:hAnsi="宋体"/>
                <w:sz w:val="18"/>
                <w:szCs w:val="18"/>
              </w:rPr>
              <w:t>≤10</w:t>
            </w:r>
            <w:r>
              <w:rPr>
                <w:rFonts w:ascii="宋体" w:hAnsi="宋体"/>
                <w:sz w:val="18"/>
                <w:szCs w:val="18"/>
              </w:rPr>
              <w:t xml:space="preserve"> </w:t>
            </w:r>
            <w:r>
              <w:rPr>
                <w:rFonts w:hint="eastAsia" w:ascii="宋体" w:hAnsi="宋体"/>
                <w:sz w:val="18"/>
                <w:szCs w:val="18"/>
              </w:rPr>
              <w:t>t/h</w:t>
            </w:r>
          </w:p>
        </w:tc>
        <w:tc>
          <w:tcPr>
            <w:tcW w:w="1873" w:type="pct"/>
            <w:gridSpan w:val="2"/>
            <w:shd w:val="clear" w:color="auto" w:fill="auto"/>
            <w:vAlign w:val="center"/>
          </w:tcPr>
          <w:p w14:paraId="7857E767">
            <w:pPr>
              <w:pStyle w:val="240"/>
              <w:jc w:val="center"/>
              <w:rPr>
                <w:rFonts w:hint="eastAsia" w:ascii="宋体" w:hAnsi="宋体"/>
                <w:sz w:val="18"/>
                <w:szCs w:val="18"/>
              </w:rPr>
            </w:pPr>
            <w:r>
              <w:rPr>
                <w:rFonts w:hint="eastAsia" w:ascii="宋体" w:hAnsi="宋体"/>
                <w:sz w:val="18"/>
                <w:szCs w:val="18"/>
              </w:rPr>
              <w:t>-</w:t>
            </w:r>
          </w:p>
        </w:tc>
        <w:tc>
          <w:tcPr>
            <w:tcW w:w="870" w:type="pct"/>
            <w:shd w:val="clear" w:color="auto" w:fill="auto"/>
            <w:vAlign w:val="center"/>
          </w:tcPr>
          <w:p w14:paraId="5F555D64">
            <w:pPr>
              <w:pStyle w:val="240"/>
              <w:jc w:val="center"/>
              <w:rPr>
                <w:rFonts w:hint="eastAsia" w:ascii="宋体" w:hAnsi="宋体"/>
                <w:sz w:val="18"/>
                <w:szCs w:val="18"/>
              </w:rPr>
            </w:pPr>
            <w:r>
              <w:rPr>
                <w:rFonts w:hint="eastAsia" w:ascii="宋体" w:hAnsi="宋体"/>
                <w:sz w:val="18"/>
                <w:szCs w:val="18"/>
              </w:rPr>
              <w:t>≤132</w:t>
            </w:r>
          </w:p>
        </w:tc>
        <w:tc>
          <w:tcPr>
            <w:tcW w:w="931" w:type="pct"/>
            <w:gridSpan w:val="2"/>
            <w:shd w:val="clear" w:color="auto" w:fill="auto"/>
            <w:vAlign w:val="center"/>
          </w:tcPr>
          <w:p w14:paraId="68ECB2A5">
            <w:pPr>
              <w:pStyle w:val="240"/>
              <w:jc w:val="center"/>
              <w:rPr>
                <w:rFonts w:hint="eastAsia" w:ascii="宋体" w:hAnsi="宋体"/>
                <w:sz w:val="18"/>
                <w:szCs w:val="18"/>
              </w:rPr>
            </w:pPr>
            <w:r>
              <w:rPr>
                <w:rFonts w:hint="eastAsia" w:ascii="宋体" w:hAnsi="宋体"/>
                <w:sz w:val="18"/>
                <w:szCs w:val="18"/>
              </w:rPr>
              <w:t>≤127</w:t>
            </w:r>
          </w:p>
        </w:tc>
      </w:tr>
      <w:tr w14:paraId="16F86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50" w:type="pct"/>
            <w:vMerge w:val="continue"/>
            <w:shd w:val="clear" w:color="auto" w:fill="auto"/>
            <w:vAlign w:val="center"/>
          </w:tcPr>
          <w:p w14:paraId="00B8D036">
            <w:pPr>
              <w:widowControl/>
              <w:jc w:val="left"/>
              <w:rPr>
                <w:rFonts w:hint="eastAsia" w:ascii="宋体" w:hAnsi="宋体"/>
                <w:sz w:val="18"/>
                <w:szCs w:val="18"/>
              </w:rPr>
            </w:pPr>
          </w:p>
        </w:tc>
        <w:tc>
          <w:tcPr>
            <w:tcW w:w="1076" w:type="pct"/>
            <w:shd w:val="clear" w:color="auto" w:fill="auto"/>
            <w:vAlign w:val="center"/>
          </w:tcPr>
          <w:p w14:paraId="4D186429">
            <w:pPr>
              <w:pStyle w:val="240"/>
              <w:jc w:val="center"/>
              <w:rPr>
                <w:rFonts w:hint="eastAsia" w:ascii="宋体" w:hAnsi="宋体"/>
                <w:sz w:val="18"/>
                <w:szCs w:val="18"/>
              </w:rPr>
            </w:pPr>
            <w:r>
              <w:rPr>
                <w:rFonts w:hint="eastAsia" w:ascii="宋体" w:hAnsi="宋体"/>
                <w:i/>
                <w:iCs/>
                <w:sz w:val="18"/>
                <w:szCs w:val="18"/>
              </w:rPr>
              <w:t>b</w:t>
            </w:r>
            <w:r>
              <w:rPr>
                <w:rFonts w:hint="eastAsia" w:ascii="宋体" w:hAnsi="宋体"/>
                <w:sz w:val="18"/>
                <w:szCs w:val="18"/>
              </w:rPr>
              <w:t>＞10</w:t>
            </w:r>
            <w:r>
              <w:rPr>
                <w:rFonts w:ascii="宋体" w:hAnsi="宋体"/>
                <w:sz w:val="18"/>
                <w:szCs w:val="18"/>
              </w:rPr>
              <w:t xml:space="preserve"> </w:t>
            </w:r>
            <w:r>
              <w:rPr>
                <w:rFonts w:hint="eastAsia" w:ascii="宋体" w:hAnsi="宋体"/>
                <w:sz w:val="18"/>
                <w:szCs w:val="18"/>
              </w:rPr>
              <w:t>t/h</w:t>
            </w:r>
          </w:p>
        </w:tc>
        <w:tc>
          <w:tcPr>
            <w:tcW w:w="1873" w:type="pct"/>
            <w:gridSpan w:val="2"/>
            <w:shd w:val="clear" w:color="auto" w:fill="auto"/>
            <w:vAlign w:val="center"/>
          </w:tcPr>
          <w:p w14:paraId="3BC749BE">
            <w:pPr>
              <w:pStyle w:val="240"/>
              <w:jc w:val="center"/>
              <w:rPr>
                <w:rFonts w:hint="eastAsia" w:ascii="宋体" w:hAnsi="宋体"/>
                <w:sz w:val="18"/>
                <w:szCs w:val="18"/>
              </w:rPr>
            </w:pPr>
            <w:r>
              <w:rPr>
                <w:rFonts w:hint="eastAsia" w:ascii="宋体" w:hAnsi="宋体"/>
                <w:sz w:val="18"/>
                <w:szCs w:val="18"/>
              </w:rPr>
              <w:t>-</w:t>
            </w:r>
          </w:p>
        </w:tc>
        <w:tc>
          <w:tcPr>
            <w:tcW w:w="870" w:type="pct"/>
            <w:shd w:val="clear" w:color="auto" w:fill="auto"/>
            <w:vAlign w:val="center"/>
          </w:tcPr>
          <w:p w14:paraId="6764E2F3">
            <w:pPr>
              <w:pStyle w:val="240"/>
              <w:jc w:val="center"/>
              <w:rPr>
                <w:rFonts w:hint="eastAsia" w:ascii="宋体" w:hAnsi="宋体"/>
                <w:sz w:val="18"/>
                <w:szCs w:val="18"/>
              </w:rPr>
            </w:pPr>
            <w:r>
              <w:rPr>
                <w:rFonts w:hint="eastAsia" w:ascii="宋体" w:hAnsi="宋体"/>
                <w:sz w:val="18"/>
                <w:szCs w:val="18"/>
              </w:rPr>
              <w:t>≤122</w:t>
            </w:r>
          </w:p>
        </w:tc>
        <w:tc>
          <w:tcPr>
            <w:tcW w:w="931" w:type="pct"/>
            <w:gridSpan w:val="2"/>
            <w:shd w:val="clear" w:color="auto" w:fill="auto"/>
            <w:vAlign w:val="center"/>
          </w:tcPr>
          <w:p w14:paraId="246377D2">
            <w:pPr>
              <w:pStyle w:val="240"/>
              <w:jc w:val="center"/>
              <w:rPr>
                <w:rFonts w:hint="eastAsia" w:ascii="宋体" w:hAnsi="宋体"/>
                <w:sz w:val="18"/>
                <w:szCs w:val="18"/>
              </w:rPr>
            </w:pPr>
            <w:r>
              <w:rPr>
                <w:rFonts w:hint="eastAsia" w:ascii="宋体" w:hAnsi="宋体"/>
                <w:sz w:val="18"/>
                <w:szCs w:val="18"/>
              </w:rPr>
              <w:t>≤117</w:t>
            </w:r>
          </w:p>
        </w:tc>
      </w:tr>
      <w:tr w14:paraId="6F22D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5000" w:type="pct"/>
            <w:gridSpan w:val="7"/>
            <w:shd w:val="clear" w:color="auto" w:fill="auto"/>
            <w:vAlign w:val="center"/>
          </w:tcPr>
          <w:p w14:paraId="530F78ED">
            <w:pPr>
              <w:pStyle w:val="183"/>
              <w:numPr>
                <w:ilvl w:val="0"/>
                <w:numId w:val="46"/>
              </w:numPr>
            </w:pPr>
            <w:r>
              <w:rPr>
                <w:rFonts w:hint="eastAsia"/>
                <w:i/>
                <w:iCs/>
              </w:rPr>
              <w:t>a</w:t>
            </w:r>
            <w:r>
              <w:rPr>
                <w:rFonts w:hint="eastAsia"/>
              </w:rPr>
              <w:t>为电炉容量，单位为吨。若电炉容量在两档之间，一律按低一档容量计算。</w:t>
            </w:r>
          </w:p>
          <w:p w14:paraId="139EF7BD">
            <w:pPr>
              <w:pStyle w:val="183"/>
            </w:pPr>
            <w:r>
              <w:rPr>
                <w:rFonts w:hint="eastAsia"/>
                <w:i/>
                <w:iCs/>
              </w:rPr>
              <w:t>b</w:t>
            </w:r>
            <w:r>
              <w:rPr>
                <w:rFonts w:hint="eastAsia"/>
              </w:rPr>
              <w:t>为冲天炉熔化率，单位为吨/小时。</w:t>
            </w:r>
          </w:p>
          <w:p w14:paraId="5492C6C1">
            <w:pPr>
              <w:pStyle w:val="183"/>
            </w:pPr>
            <w:r>
              <w:rPr>
                <w:rFonts w:hint="eastAsia"/>
              </w:rPr>
              <w:t>铁水温度每±10</w:t>
            </w:r>
            <w:r>
              <w:t xml:space="preserve"> </w:t>
            </w:r>
            <w:r>
              <w:rPr>
                <w:rFonts w:hint="eastAsia"/>
              </w:rPr>
              <w:t>℃，铁水单位产量综合电耗相应±6kW</w:t>
            </w:r>
            <w:r>
              <w:t>·</w:t>
            </w:r>
            <w:r>
              <w:rPr>
                <w:rFonts w:hint="eastAsia"/>
              </w:rPr>
              <w:t>h/t，铁水单位产量综合燃料消耗相应±6 kgce/t。</w:t>
            </w:r>
          </w:p>
          <w:p w14:paraId="1DDFC3B1">
            <w:pPr>
              <w:pStyle w:val="183"/>
            </w:pPr>
            <w:r>
              <w:rPr>
                <w:rFonts w:hint="eastAsia"/>
              </w:rPr>
              <w:t>铁屑含量每增加10％，铁水单位产量综合电耗增加4 kW</w:t>
            </w:r>
            <w:r>
              <w:rPr>
                <w:rFonts w:hint="default" w:ascii="Times New Roman" w:hAnsi="Times New Roman" w:cs="Times New Roman"/>
                <w:sz w:val="18"/>
                <w:szCs w:val="18"/>
              </w:rPr>
              <w:t>·</w:t>
            </w:r>
            <w:r>
              <w:rPr>
                <w:rFonts w:hint="eastAsia"/>
              </w:rPr>
              <w:t>h/t。</w:t>
            </w:r>
          </w:p>
          <w:p w14:paraId="2C630E28">
            <w:pPr>
              <w:pStyle w:val="183"/>
            </w:pPr>
            <w:r>
              <w:rPr>
                <w:rFonts w:hint="eastAsia"/>
              </w:rPr>
              <w:t>铁水温度1480℃。</w:t>
            </w:r>
          </w:p>
        </w:tc>
      </w:tr>
    </w:tbl>
    <w:p w14:paraId="26D829F3">
      <w:pPr>
        <w:pStyle w:val="108"/>
        <w:spacing w:before="156" w:after="156"/>
      </w:pPr>
      <w:bookmarkStart w:id="527" w:name="_Toc5384"/>
      <w:bookmarkStart w:id="528" w:name="_Toc11323"/>
      <w:bookmarkStart w:id="529" w:name="_Toc175690961"/>
      <w:bookmarkStart w:id="530" w:name="_Toc502760527"/>
      <w:bookmarkStart w:id="531" w:name="_Toc20133"/>
      <w:bookmarkStart w:id="532" w:name="_Toc175504975"/>
      <w:r>
        <w:rPr>
          <w:rFonts w:hint="eastAsia"/>
        </w:rPr>
        <w:t>铸钢件</w:t>
      </w:r>
      <w:bookmarkEnd w:id="527"/>
      <w:bookmarkEnd w:id="528"/>
      <w:bookmarkEnd w:id="529"/>
      <w:bookmarkEnd w:id="530"/>
      <w:bookmarkEnd w:id="531"/>
      <w:bookmarkEnd w:id="532"/>
    </w:p>
    <w:p w14:paraId="4DCE108A">
      <w:pPr>
        <w:pStyle w:val="68"/>
        <w:spacing w:before="156" w:after="156"/>
      </w:pPr>
      <w:r>
        <w:rPr>
          <w:rFonts w:hint="eastAsia"/>
        </w:rPr>
        <w:t>适用对象</w:t>
      </w:r>
    </w:p>
    <w:p w14:paraId="755D5FFC">
      <w:pPr>
        <w:pStyle w:val="59"/>
        <w:ind w:firstLine="420"/>
      </w:pPr>
      <w:r>
        <w:rPr>
          <w:rFonts w:hint="eastAsia"/>
        </w:rPr>
        <w:t>适用于铸钢件生产企业（包括生产联合体中的铸钢件分厂、车间等，下同）单位产品能源消耗量的计</w:t>
      </w:r>
      <w:r>
        <w:t>算、控制和考核、评价。</w:t>
      </w:r>
    </w:p>
    <w:p w14:paraId="1A384F4B">
      <w:pPr>
        <w:pStyle w:val="68"/>
        <w:spacing w:before="156" w:after="156"/>
      </w:pPr>
      <w:r>
        <w:rPr>
          <w:rFonts w:hint="eastAsia"/>
        </w:rPr>
        <w:t>铸钢件单位产量可比综合能耗限定值和准入值</w:t>
      </w:r>
    </w:p>
    <w:p w14:paraId="7D46B6C0">
      <w:pPr>
        <w:pStyle w:val="59"/>
        <w:ind w:firstLine="420"/>
      </w:pPr>
      <w:r>
        <w:rPr>
          <w:rFonts w:hint="eastAsia"/>
        </w:rPr>
        <w:t>现有企业铸钢件单位产量可比综合能耗限定值，</w:t>
      </w:r>
      <w:r>
        <w:rPr>
          <w:rFonts w:hint="eastAsia" w:hAnsi="宋体"/>
        </w:rPr>
        <w:t>新建企业、现有企业</w:t>
      </w:r>
      <w:r>
        <w:rPr>
          <w:rFonts w:hAnsi="宋体"/>
        </w:rPr>
        <w:t>改扩建</w:t>
      </w:r>
      <w:r>
        <w:rPr>
          <w:rFonts w:hint="eastAsia" w:hAnsi="宋体"/>
        </w:rPr>
        <w:t>项目</w:t>
      </w:r>
      <w:r>
        <w:rPr>
          <w:rFonts w:hint="eastAsia"/>
        </w:rPr>
        <w:t>铸钢件单位产量可比综合能耗准入值应符合表25的规定。</w:t>
      </w:r>
    </w:p>
    <w:p w14:paraId="1CDDE108">
      <w:pPr>
        <w:pStyle w:val="115"/>
        <w:spacing w:before="156" w:after="156"/>
      </w:pPr>
      <w:r>
        <w:rPr>
          <w:rFonts w:hint="eastAsia"/>
        </w:rPr>
        <w:t>铸钢件单位产量可比综合能耗限定值和准入值</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540"/>
        <w:gridCol w:w="3270"/>
        <w:gridCol w:w="3471"/>
      </w:tblGrid>
      <w:tr w14:paraId="644F45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540" w:type="dxa"/>
            <w:tcBorders>
              <w:top w:val="single" w:color="auto" w:sz="8" w:space="0"/>
              <w:bottom w:val="single" w:color="auto" w:sz="8" w:space="0"/>
            </w:tcBorders>
            <w:shd w:val="clear" w:color="auto" w:fill="auto"/>
            <w:vAlign w:val="center"/>
          </w:tcPr>
          <w:p w14:paraId="070EBE5C">
            <w:pPr>
              <w:pStyle w:val="240"/>
              <w:jc w:val="center"/>
              <w:rPr>
                <w:rFonts w:hint="eastAsia" w:ascii="宋体" w:hAnsi="宋体"/>
                <w:sz w:val="18"/>
                <w:szCs w:val="18"/>
              </w:rPr>
            </w:pPr>
            <w:r>
              <w:rPr>
                <w:rFonts w:hint="eastAsia" w:ascii="宋体" w:hAnsi="宋体"/>
                <w:sz w:val="18"/>
                <w:szCs w:val="18"/>
              </w:rPr>
              <w:t>类别</w:t>
            </w:r>
          </w:p>
        </w:tc>
        <w:tc>
          <w:tcPr>
            <w:tcW w:w="3270" w:type="dxa"/>
            <w:tcBorders>
              <w:top w:val="single" w:color="auto" w:sz="8" w:space="0"/>
              <w:bottom w:val="single" w:color="auto" w:sz="8" w:space="0"/>
            </w:tcBorders>
            <w:shd w:val="clear" w:color="auto" w:fill="auto"/>
            <w:vAlign w:val="center"/>
          </w:tcPr>
          <w:p w14:paraId="5BA989B7">
            <w:pPr>
              <w:pStyle w:val="240"/>
              <w:spacing w:line="240" w:lineRule="exact"/>
              <w:jc w:val="center"/>
              <w:rPr>
                <w:rFonts w:hint="eastAsia" w:ascii="宋体" w:hAnsi="宋体"/>
                <w:sz w:val="18"/>
                <w:szCs w:val="18"/>
              </w:rPr>
            </w:pPr>
            <w:r>
              <w:rPr>
                <w:rFonts w:hint="eastAsia" w:ascii="宋体" w:hAnsi="宋体"/>
                <w:sz w:val="18"/>
                <w:szCs w:val="18"/>
              </w:rPr>
              <w:t>单位产量可比综合能耗限定值</w:t>
            </w:r>
          </w:p>
          <w:p w14:paraId="12151776">
            <w:pPr>
              <w:pStyle w:val="240"/>
              <w:spacing w:line="240" w:lineRule="exact"/>
              <w:jc w:val="center"/>
              <w:rPr>
                <w:rFonts w:hint="eastAsia" w:ascii="宋体" w:hAnsi="宋体"/>
                <w:sz w:val="18"/>
                <w:szCs w:val="18"/>
              </w:rPr>
            </w:pPr>
            <w:r>
              <w:rPr>
                <w:rFonts w:hint="eastAsia" w:ascii="宋体" w:hAnsi="宋体"/>
                <w:sz w:val="18"/>
                <w:szCs w:val="18"/>
              </w:rPr>
              <w:t>kgce/t</w:t>
            </w:r>
          </w:p>
        </w:tc>
        <w:tc>
          <w:tcPr>
            <w:tcW w:w="3471" w:type="dxa"/>
            <w:tcBorders>
              <w:top w:val="single" w:color="auto" w:sz="8" w:space="0"/>
              <w:bottom w:val="single" w:color="auto" w:sz="8" w:space="0"/>
            </w:tcBorders>
            <w:shd w:val="clear" w:color="auto" w:fill="auto"/>
            <w:vAlign w:val="center"/>
          </w:tcPr>
          <w:p w14:paraId="4E31C582">
            <w:pPr>
              <w:pStyle w:val="240"/>
              <w:spacing w:line="240" w:lineRule="exact"/>
              <w:jc w:val="center"/>
              <w:rPr>
                <w:rFonts w:hint="eastAsia" w:ascii="宋体" w:hAnsi="宋体"/>
                <w:sz w:val="18"/>
                <w:szCs w:val="18"/>
              </w:rPr>
            </w:pPr>
            <w:r>
              <w:rPr>
                <w:rFonts w:hint="eastAsia" w:ascii="宋体" w:hAnsi="宋体"/>
                <w:sz w:val="18"/>
                <w:szCs w:val="18"/>
              </w:rPr>
              <w:t>单位产量可比综合能耗准入值</w:t>
            </w:r>
          </w:p>
          <w:p w14:paraId="6672FC8B">
            <w:pPr>
              <w:pStyle w:val="240"/>
              <w:spacing w:line="240" w:lineRule="exact"/>
              <w:jc w:val="center"/>
              <w:rPr>
                <w:rFonts w:hint="eastAsia" w:ascii="宋体" w:hAnsi="宋体"/>
                <w:sz w:val="18"/>
                <w:szCs w:val="18"/>
              </w:rPr>
            </w:pPr>
            <w:r>
              <w:rPr>
                <w:rFonts w:hint="eastAsia" w:ascii="宋体" w:hAnsi="宋体"/>
                <w:sz w:val="18"/>
                <w:szCs w:val="18"/>
              </w:rPr>
              <w:t>kgce/t</w:t>
            </w:r>
          </w:p>
        </w:tc>
      </w:tr>
      <w:tr w14:paraId="1F13D6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540" w:type="dxa"/>
            <w:tcBorders>
              <w:top w:val="single" w:color="auto" w:sz="8" w:space="0"/>
            </w:tcBorders>
            <w:shd w:val="clear" w:color="auto" w:fill="auto"/>
            <w:vAlign w:val="center"/>
          </w:tcPr>
          <w:p w14:paraId="5018D46B">
            <w:pPr>
              <w:pStyle w:val="240"/>
              <w:jc w:val="center"/>
              <w:rPr>
                <w:rFonts w:hint="eastAsia" w:ascii="宋体" w:hAnsi="宋体"/>
                <w:sz w:val="18"/>
                <w:szCs w:val="18"/>
              </w:rPr>
            </w:pPr>
            <w:r>
              <w:rPr>
                <w:rFonts w:hint="eastAsia" w:ascii="宋体" w:hAnsi="宋体"/>
                <w:sz w:val="18"/>
                <w:szCs w:val="18"/>
              </w:rPr>
              <w:t>铸钢件</w:t>
            </w:r>
          </w:p>
        </w:tc>
        <w:tc>
          <w:tcPr>
            <w:tcW w:w="3270" w:type="dxa"/>
            <w:tcBorders>
              <w:top w:val="single" w:color="auto" w:sz="8" w:space="0"/>
            </w:tcBorders>
            <w:shd w:val="clear" w:color="auto" w:fill="auto"/>
            <w:vAlign w:val="center"/>
          </w:tcPr>
          <w:p w14:paraId="6399FEC3">
            <w:pPr>
              <w:pStyle w:val="240"/>
              <w:jc w:val="center"/>
              <w:rPr>
                <w:rFonts w:hint="eastAsia" w:ascii="宋体" w:hAnsi="宋体"/>
                <w:sz w:val="18"/>
                <w:szCs w:val="18"/>
              </w:rPr>
            </w:pPr>
            <w:r>
              <w:rPr>
                <w:rFonts w:hint="eastAsia" w:ascii="宋体" w:hAnsi="宋体"/>
                <w:sz w:val="18"/>
                <w:szCs w:val="18"/>
              </w:rPr>
              <w:t>≤ 310</w:t>
            </w:r>
          </w:p>
        </w:tc>
        <w:tc>
          <w:tcPr>
            <w:tcW w:w="3471" w:type="dxa"/>
            <w:tcBorders>
              <w:top w:val="single" w:color="auto" w:sz="8" w:space="0"/>
            </w:tcBorders>
            <w:shd w:val="clear" w:color="auto" w:fill="auto"/>
            <w:vAlign w:val="center"/>
          </w:tcPr>
          <w:p w14:paraId="25CF5C47">
            <w:pPr>
              <w:pStyle w:val="240"/>
              <w:jc w:val="center"/>
              <w:rPr>
                <w:rFonts w:hint="eastAsia" w:ascii="宋体" w:hAnsi="宋体"/>
                <w:sz w:val="18"/>
                <w:szCs w:val="18"/>
              </w:rPr>
            </w:pPr>
            <w:r>
              <w:rPr>
                <w:rFonts w:hint="eastAsia" w:ascii="宋体" w:hAnsi="宋体"/>
                <w:sz w:val="18"/>
                <w:szCs w:val="18"/>
              </w:rPr>
              <w:t>≤ 295</w:t>
            </w:r>
          </w:p>
        </w:tc>
      </w:tr>
      <w:tr w14:paraId="6E3AF0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9281" w:type="dxa"/>
            <w:gridSpan w:val="3"/>
            <w:shd w:val="clear" w:color="auto" w:fill="auto"/>
            <w:vAlign w:val="center"/>
          </w:tcPr>
          <w:p w14:paraId="571F7E3E">
            <w:pPr>
              <w:pStyle w:val="182"/>
              <w:rPr>
                <w:rFonts w:hint="eastAsia" w:hAnsi="宋体"/>
              </w:rPr>
            </w:pPr>
            <w:r>
              <w:rPr>
                <w:rFonts w:hint="eastAsia"/>
              </w:rPr>
              <w:t>新水折标准煤系数采用0.0857kgce/t</w:t>
            </w:r>
            <w:r>
              <w:rPr>
                <w:rFonts w:hint="eastAsia"/>
                <w:spacing w:val="20"/>
              </w:rPr>
              <w:t>。</w:t>
            </w:r>
          </w:p>
        </w:tc>
      </w:tr>
    </w:tbl>
    <w:p w14:paraId="66321876">
      <w:pPr>
        <w:pStyle w:val="68"/>
        <w:spacing w:before="156" w:after="156"/>
        <w:rPr>
          <w:rFonts w:hint="eastAsia" w:hAnsi="黑体" w:cs="宋体"/>
        </w:rPr>
      </w:pPr>
      <w:r>
        <w:rPr>
          <w:rFonts w:hint="eastAsia"/>
        </w:rPr>
        <w:t>感应炉吨钢水综合电耗和电弧炉吨钢水综合电耗限定值和准入值</w:t>
      </w:r>
    </w:p>
    <w:p w14:paraId="2AE161AD">
      <w:pPr>
        <w:pStyle w:val="59"/>
        <w:ind w:firstLine="420"/>
      </w:pPr>
      <w:r>
        <w:rPr>
          <w:rFonts w:hint="eastAsia"/>
        </w:rPr>
        <w:t>现有企业感应电炉吨钢水综合电耗和电弧炉吨钢水综合电耗限定值，新建企业、现有企业</w:t>
      </w:r>
      <w:r>
        <w:t>改扩建</w:t>
      </w:r>
      <w:r>
        <w:rPr>
          <w:rFonts w:hint="eastAsia"/>
        </w:rPr>
        <w:t>项目感应电炉吨钢水综合电耗和电弧炉吨钢水综合电耗准入值应符合表26的规定。</w:t>
      </w:r>
    </w:p>
    <w:p w14:paraId="236CF886">
      <w:pPr>
        <w:pStyle w:val="115"/>
        <w:spacing w:before="156" w:after="156"/>
        <w:rPr>
          <w:szCs w:val="21"/>
        </w:rPr>
      </w:pPr>
      <w:r>
        <w:rPr>
          <w:rFonts w:hint="eastAsia"/>
        </w:rPr>
        <w:t>感应电炉吨钢水综合电耗和电弧炉吨钢水综合电耗限定值和准入值</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813"/>
        <w:gridCol w:w="1417"/>
        <w:gridCol w:w="1418"/>
        <w:gridCol w:w="1843"/>
        <w:gridCol w:w="1401"/>
        <w:gridCol w:w="1402"/>
      </w:tblGrid>
      <w:tr w14:paraId="722B9E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813" w:type="dxa"/>
            <w:vMerge w:val="restart"/>
            <w:tcBorders>
              <w:top w:val="single" w:color="auto" w:sz="8" w:space="0"/>
            </w:tcBorders>
            <w:shd w:val="clear" w:color="auto" w:fill="auto"/>
            <w:vAlign w:val="center"/>
          </w:tcPr>
          <w:p w14:paraId="2686FBE1">
            <w:pPr>
              <w:pStyle w:val="240"/>
              <w:spacing w:line="240" w:lineRule="exact"/>
              <w:jc w:val="center"/>
              <w:rPr>
                <w:rFonts w:hint="eastAsia" w:ascii="宋体" w:hAnsi="宋体"/>
                <w:sz w:val="18"/>
                <w:szCs w:val="18"/>
              </w:rPr>
            </w:pPr>
            <w:r>
              <w:rPr>
                <w:rFonts w:hint="eastAsia" w:ascii="宋体" w:hAnsi="宋体"/>
                <w:sz w:val="18"/>
                <w:szCs w:val="18"/>
              </w:rPr>
              <w:t>感应电炉容量</w:t>
            </w:r>
          </w:p>
          <w:p w14:paraId="2379C05B">
            <w:pPr>
              <w:pStyle w:val="240"/>
              <w:spacing w:line="240" w:lineRule="exact"/>
              <w:jc w:val="center"/>
              <w:rPr>
                <w:rFonts w:hint="eastAsia" w:ascii="宋体" w:hAnsi="宋体"/>
                <w:sz w:val="18"/>
                <w:szCs w:val="18"/>
              </w:rPr>
            </w:pPr>
            <w:r>
              <w:rPr>
                <w:rFonts w:hint="eastAsia" w:ascii="宋体" w:hAnsi="宋体"/>
                <w:sz w:val="18"/>
                <w:szCs w:val="18"/>
              </w:rPr>
              <w:t>t</w:t>
            </w:r>
          </w:p>
        </w:tc>
        <w:tc>
          <w:tcPr>
            <w:tcW w:w="2835" w:type="dxa"/>
            <w:gridSpan w:val="2"/>
            <w:tcBorders>
              <w:top w:val="single" w:color="auto" w:sz="8" w:space="0"/>
              <w:bottom w:val="single" w:color="auto" w:sz="8" w:space="0"/>
            </w:tcBorders>
            <w:shd w:val="clear" w:color="auto" w:fill="auto"/>
            <w:vAlign w:val="center"/>
          </w:tcPr>
          <w:p w14:paraId="10D51FD4">
            <w:pPr>
              <w:pStyle w:val="240"/>
              <w:spacing w:line="240" w:lineRule="exact"/>
              <w:jc w:val="center"/>
              <w:rPr>
                <w:rFonts w:hint="eastAsia" w:ascii="宋体" w:hAnsi="宋体"/>
                <w:sz w:val="18"/>
                <w:szCs w:val="18"/>
              </w:rPr>
            </w:pPr>
            <w:r>
              <w:rPr>
                <w:rFonts w:hint="eastAsia" w:ascii="宋体" w:hAnsi="宋体"/>
                <w:sz w:val="18"/>
                <w:szCs w:val="18"/>
              </w:rPr>
              <w:t>感应电炉吨钢水综合电耗</w:t>
            </w:r>
          </w:p>
          <w:p w14:paraId="5B32C767">
            <w:pPr>
              <w:pStyle w:val="240"/>
              <w:spacing w:line="240" w:lineRule="exact"/>
              <w:jc w:val="center"/>
              <w:rPr>
                <w:rFonts w:hint="eastAsia" w:ascii="宋体" w:hAnsi="宋体"/>
                <w:sz w:val="18"/>
                <w:szCs w:val="18"/>
              </w:rPr>
            </w:pPr>
            <w:r>
              <w:rPr>
                <w:rFonts w:hint="eastAsia" w:ascii="宋体" w:hAnsi="宋体"/>
                <w:sz w:val="18"/>
                <w:szCs w:val="18"/>
              </w:rPr>
              <w:t>kW</w:t>
            </w:r>
            <w:r>
              <w:rPr>
                <w:sz w:val="18"/>
              </w:rPr>
              <w:t>·</w:t>
            </w:r>
            <w:r>
              <w:rPr>
                <w:rFonts w:hint="eastAsia" w:ascii="宋体" w:hAnsi="宋体"/>
                <w:sz w:val="18"/>
                <w:szCs w:val="18"/>
              </w:rPr>
              <w:t>h/t</w:t>
            </w:r>
          </w:p>
        </w:tc>
        <w:tc>
          <w:tcPr>
            <w:tcW w:w="1843" w:type="dxa"/>
            <w:vMerge w:val="restart"/>
            <w:tcBorders>
              <w:top w:val="single" w:color="auto" w:sz="8" w:space="0"/>
            </w:tcBorders>
            <w:shd w:val="clear" w:color="auto" w:fill="auto"/>
            <w:vAlign w:val="center"/>
          </w:tcPr>
          <w:p w14:paraId="4618ADE2">
            <w:pPr>
              <w:pStyle w:val="240"/>
              <w:spacing w:line="240" w:lineRule="exact"/>
              <w:jc w:val="center"/>
              <w:rPr>
                <w:rFonts w:hint="eastAsia" w:ascii="宋体" w:hAnsi="宋体"/>
                <w:sz w:val="18"/>
                <w:szCs w:val="18"/>
              </w:rPr>
            </w:pPr>
            <w:r>
              <w:rPr>
                <w:rFonts w:hint="eastAsia" w:ascii="宋体" w:hAnsi="宋体"/>
                <w:sz w:val="18"/>
                <w:szCs w:val="18"/>
              </w:rPr>
              <w:t>电弧炉容量</w:t>
            </w:r>
          </w:p>
          <w:p w14:paraId="3BD38D6B">
            <w:pPr>
              <w:pStyle w:val="240"/>
              <w:spacing w:line="240" w:lineRule="exact"/>
              <w:jc w:val="center"/>
              <w:rPr>
                <w:rFonts w:hint="eastAsia" w:ascii="宋体" w:hAnsi="宋体"/>
                <w:sz w:val="18"/>
                <w:szCs w:val="18"/>
              </w:rPr>
            </w:pPr>
            <w:r>
              <w:rPr>
                <w:rFonts w:hint="eastAsia" w:ascii="宋体" w:hAnsi="宋体"/>
                <w:sz w:val="18"/>
                <w:szCs w:val="18"/>
              </w:rPr>
              <w:t>t</w:t>
            </w:r>
          </w:p>
        </w:tc>
        <w:tc>
          <w:tcPr>
            <w:tcW w:w="2803" w:type="dxa"/>
            <w:gridSpan w:val="2"/>
            <w:tcBorders>
              <w:top w:val="single" w:color="auto" w:sz="8" w:space="0"/>
              <w:bottom w:val="single" w:color="auto" w:sz="8" w:space="0"/>
            </w:tcBorders>
            <w:shd w:val="clear" w:color="auto" w:fill="auto"/>
            <w:vAlign w:val="center"/>
          </w:tcPr>
          <w:p w14:paraId="3DE5254D">
            <w:pPr>
              <w:pStyle w:val="240"/>
              <w:spacing w:line="240" w:lineRule="exact"/>
              <w:jc w:val="center"/>
              <w:rPr>
                <w:rFonts w:hint="eastAsia" w:ascii="宋体" w:hAnsi="宋体"/>
                <w:sz w:val="18"/>
                <w:szCs w:val="18"/>
              </w:rPr>
            </w:pPr>
            <w:r>
              <w:rPr>
                <w:rFonts w:hint="eastAsia" w:ascii="宋体" w:hAnsi="宋体"/>
                <w:sz w:val="18"/>
                <w:szCs w:val="18"/>
              </w:rPr>
              <w:t>电弧炉吨钢水综合电耗</w:t>
            </w:r>
          </w:p>
          <w:p w14:paraId="1AD4D63D">
            <w:pPr>
              <w:pStyle w:val="240"/>
              <w:spacing w:line="240" w:lineRule="exact"/>
              <w:jc w:val="center"/>
              <w:rPr>
                <w:rFonts w:hint="eastAsia" w:ascii="宋体" w:hAnsi="宋体"/>
                <w:sz w:val="18"/>
                <w:szCs w:val="18"/>
              </w:rPr>
            </w:pPr>
            <w:r>
              <w:rPr>
                <w:rFonts w:hint="eastAsia" w:ascii="宋体" w:hAnsi="宋体"/>
                <w:sz w:val="18"/>
                <w:szCs w:val="18"/>
              </w:rPr>
              <w:t>kW</w:t>
            </w:r>
            <w:r>
              <w:rPr>
                <w:sz w:val="18"/>
              </w:rPr>
              <w:t>·</w:t>
            </w:r>
            <w:r>
              <w:rPr>
                <w:rFonts w:hint="eastAsia" w:ascii="宋体" w:hAnsi="宋体"/>
                <w:sz w:val="18"/>
                <w:szCs w:val="18"/>
              </w:rPr>
              <w:t>h/t</w:t>
            </w:r>
          </w:p>
        </w:tc>
      </w:tr>
      <w:tr w14:paraId="5CA929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813" w:type="dxa"/>
            <w:vMerge w:val="continue"/>
            <w:tcBorders>
              <w:bottom w:val="single" w:color="auto" w:sz="8" w:space="0"/>
            </w:tcBorders>
            <w:shd w:val="clear" w:color="auto" w:fill="auto"/>
            <w:vAlign w:val="center"/>
          </w:tcPr>
          <w:p w14:paraId="0E77101D">
            <w:pPr>
              <w:pStyle w:val="240"/>
              <w:spacing w:line="240" w:lineRule="exact"/>
              <w:jc w:val="center"/>
              <w:rPr>
                <w:rFonts w:hint="eastAsia" w:ascii="宋体" w:hAnsi="宋体"/>
                <w:sz w:val="18"/>
                <w:szCs w:val="18"/>
              </w:rPr>
            </w:pPr>
          </w:p>
        </w:tc>
        <w:tc>
          <w:tcPr>
            <w:tcW w:w="1417" w:type="dxa"/>
            <w:tcBorders>
              <w:top w:val="single" w:color="auto" w:sz="8" w:space="0"/>
              <w:bottom w:val="single" w:color="auto" w:sz="8" w:space="0"/>
            </w:tcBorders>
            <w:shd w:val="clear" w:color="auto" w:fill="auto"/>
            <w:vAlign w:val="center"/>
          </w:tcPr>
          <w:p w14:paraId="08B1D785">
            <w:pPr>
              <w:pStyle w:val="240"/>
              <w:spacing w:line="240" w:lineRule="exact"/>
              <w:jc w:val="center"/>
              <w:rPr>
                <w:rFonts w:hint="eastAsia" w:ascii="宋体" w:hAnsi="宋体"/>
                <w:sz w:val="18"/>
                <w:szCs w:val="18"/>
              </w:rPr>
            </w:pPr>
            <w:r>
              <w:rPr>
                <w:rFonts w:hint="eastAsia" w:ascii="宋体" w:hAnsi="宋体"/>
                <w:sz w:val="18"/>
                <w:szCs w:val="18"/>
              </w:rPr>
              <w:t>限定值</w:t>
            </w:r>
          </w:p>
        </w:tc>
        <w:tc>
          <w:tcPr>
            <w:tcW w:w="1418" w:type="dxa"/>
            <w:tcBorders>
              <w:top w:val="single" w:color="auto" w:sz="8" w:space="0"/>
              <w:bottom w:val="single" w:color="auto" w:sz="8" w:space="0"/>
            </w:tcBorders>
            <w:shd w:val="clear" w:color="auto" w:fill="auto"/>
            <w:vAlign w:val="center"/>
          </w:tcPr>
          <w:p w14:paraId="29A5B886">
            <w:pPr>
              <w:pStyle w:val="240"/>
              <w:spacing w:line="240" w:lineRule="exact"/>
              <w:jc w:val="center"/>
              <w:rPr>
                <w:rFonts w:hint="eastAsia" w:ascii="宋体" w:hAnsi="宋体"/>
                <w:sz w:val="18"/>
                <w:szCs w:val="18"/>
              </w:rPr>
            </w:pPr>
            <w:r>
              <w:rPr>
                <w:rFonts w:hint="eastAsia" w:ascii="宋体" w:hAnsi="宋体"/>
                <w:sz w:val="18"/>
                <w:szCs w:val="18"/>
              </w:rPr>
              <w:t>准入值</w:t>
            </w:r>
          </w:p>
        </w:tc>
        <w:tc>
          <w:tcPr>
            <w:tcW w:w="1843" w:type="dxa"/>
            <w:vMerge w:val="continue"/>
            <w:tcBorders>
              <w:bottom w:val="single" w:color="auto" w:sz="8" w:space="0"/>
            </w:tcBorders>
            <w:shd w:val="clear" w:color="auto" w:fill="auto"/>
            <w:vAlign w:val="center"/>
          </w:tcPr>
          <w:p w14:paraId="55A4B0CA">
            <w:pPr>
              <w:pStyle w:val="240"/>
              <w:spacing w:line="240" w:lineRule="exact"/>
              <w:jc w:val="center"/>
              <w:rPr>
                <w:rFonts w:hint="eastAsia" w:ascii="宋体" w:hAnsi="宋体"/>
                <w:sz w:val="18"/>
                <w:szCs w:val="18"/>
              </w:rPr>
            </w:pPr>
          </w:p>
        </w:tc>
        <w:tc>
          <w:tcPr>
            <w:tcW w:w="1401" w:type="dxa"/>
            <w:tcBorders>
              <w:top w:val="single" w:color="auto" w:sz="8" w:space="0"/>
              <w:bottom w:val="single" w:color="auto" w:sz="8" w:space="0"/>
            </w:tcBorders>
            <w:shd w:val="clear" w:color="auto" w:fill="auto"/>
            <w:vAlign w:val="center"/>
          </w:tcPr>
          <w:p w14:paraId="2A1F137F">
            <w:pPr>
              <w:pStyle w:val="240"/>
              <w:spacing w:line="240" w:lineRule="exact"/>
              <w:jc w:val="center"/>
              <w:rPr>
                <w:rFonts w:hint="eastAsia" w:ascii="宋体" w:hAnsi="宋体"/>
                <w:sz w:val="18"/>
                <w:szCs w:val="18"/>
              </w:rPr>
            </w:pPr>
            <w:r>
              <w:rPr>
                <w:rFonts w:hint="eastAsia" w:ascii="宋体" w:hAnsi="宋体"/>
                <w:sz w:val="18"/>
                <w:szCs w:val="18"/>
              </w:rPr>
              <w:t>限定值</w:t>
            </w:r>
          </w:p>
        </w:tc>
        <w:tc>
          <w:tcPr>
            <w:tcW w:w="1402" w:type="dxa"/>
            <w:tcBorders>
              <w:top w:val="single" w:color="auto" w:sz="8" w:space="0"/>
              <w:bottom w:val="single" w:color="auto" w:sz="8" w:space="0"/>
            </w:tcBorders>
            <w:shd w:val="clear" w:color="auto" w:fill="auto"/>
            <w:vAlign w:val="center"/>
          </w:tcPr>
          <w:p w14:paraId="053BA803">
            <w:pPr>
              <w:pStyle w:val="240"/>
              <w:spacing w:line="240" w:lineRule="exact"/>
              <w:jc w:val="center"/>
              <w:rPr>
                <w:rFonts w:hint="eastAsia" w:ascii="宋体" w:hAnsi="宋体"/>
                <w:sz w:val="18"/>
                <w:szCs w:val="18"/>
              </w:rPr>
            </w:pPr>
            <w:r>
              <w:rPr>
                <w:rFonts w:hint="eastAsia" w:ascii="宋体" w:hAnsi="宋体"/>
                <w:sz w:val="18"/>
                <w:szCs w:val="18"/>
              </w:rPr>
              <w:t>准入值</w:t>
            </w:r>
          </w:p>
        </w:tc>
      </w:tr>
      <w:tr w14:paraId="6F7622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813" w:type="dxa"/>
            <w:tcBorders>
              <w:top w:val="single" w:color="auto" w:sz="8" w:space="0"/>
            </w:tcBorders>
            <w:shd w:val="clear" w:color="auto" w:fill="auto"/>
            <w:vAlign w:val="center"/>
          </w:tcPr>
          <w:p w14:paraId="60A5EB45">
            <w:pPr>
              <w:pStyle w:val="240"/>
              <w:jc w:val="center"/>
              <w:rPr>
                <w:rFonts w:hint="eastAsia" w:ascii="宋体" w:hAnsi="宋体"/>
                <w:sz w:val="18"/>
                <w:szCs w:val="18"/>
              </w:rPr>
            </w:pPr>
            <w:r>
              <w:rPr>
                <w:rFonts w:hint="eastAsia" w:ascii="宋体" w:hAnsi="宋体"/>
                <w:sz w:val="18"/>
                <w:szCs w:val="18"/>
              </w:rPr>
              <w:t>0.25</w:t>
            </w:r>
          </w:p>
        </w:tc>
        <w:tc>
          <w:tcPr>
            <w:tcW w:w="1417" w:type="dxa"/>
            <w:tcBorders>
              <w:top w:val="single" w:color="auto" w:sz="8" w:space="0"/>
            </w:tcBorders>
            <w:shd w:val="clear" w:color="auto" w:fill="auto"/>
            <w:vAlign w:val="center"/>
          </w:tcPr>
          <w:p w14:paraId="583F9F44">
            <w:pPr>
              <w:pStyle w:val="240"/>
              <w:jc w:val="center"/>
              <w:rPr>
                <w:rFonts w:hint="eastAsia" w:ascii="宋体" w:hAnsi="宋体"/>
                <w:sz w:val="18"/>
                <w:szCs w:val="18"/>
              </w:rPr>
            </w:pPr>
            <w:r>
              <w:rPr>
                <w:rFonts w:hint="eastAsia" w:ascii="宋体" w:hAnsi="宋体"/>
                <w:sz w:val="18"/>
                <w:szCs w:val="18"/>
              </w:rPr>
              <w:t xml:space="preserve">≤730 </w:t>
            </w:r>
          </w:p>
        </w:tc>
        <w:tc>
          <w:tcPr>
            <w:tcW w:w="1418" w:type="dxa"/>
            <w:tcBorders>
              <w:top w:val="single" w:color="auto" w:sz="8" w:space="0"/>
            </w:tcBorders>
            <w:shd w:val="clear" w:color="auto" w:fill="auto"/>
            <w:vAlign w:val="center"/>
          </w:tcPr>
          <w:p w14:paraId="1BCDCE72">
            <w:pPr>
              <w:pStyle w:val="240"/>
              <w:jc w:val="center"/>
              <w:rPr>
                <w:rFonts w:hint="eastAsia" w:ascii="宋体" w:hAnsi="宋体"/>
                <w:sz w:val="18"/>
                <w:szCs w:val="18"/>
              </w:rPr>
            </w:pPr>
            <w:r>
              <w:rPr>
                <w:rFonts w:hint="eastAsia" w:ascii="宋体" w:hAnsi="宋体"/>
                <w:sz w:val="18"/>
                <w:szCs w:val="18"/>
              </w:rPr>
              <w:t>-</w:t>
            </w:r>
          </w:p>
        </w:tc>
        <w:tc>
          <w:tcPr>
            <w:tcW w:w="1843" w:type="dxa"/>
            <w:tcBorders>
              <w:top w:val="single" w:color="auto" w:sz="8" w:space="0"/>
            </w:tcBorders>
            <w:shd w:val="clear" w:color="auto" w:fill="auto"/>
            <w:vAlign w:val="center"/>
          </w:tcPr>
          <w:p w14:paraId="41759D9E">
            <w:pPr>
              <w:pStyle w:val="240"/>
              <w:jc w:val="center"/>
              <w:rPr>
                <w:rFonts w:hint="eastAsia" w:ascii="宋体" w:hAnsi="宋体"/>
                <w:sz w:val="18"/>
                <w:szCs w:val="18"/>
              </w:rPr>
            </w:pPr>
            <w:r>
              <w:rPr>
                <w:rFonts w:hint="eastAsia" w:ascii="宋体" w:hAnsi="宋体"/>
                <w:sz w:val="18"/>
                <w:szCs w:val="18"/>
              </w:rPr>
              <w:t>≤0.5</w:t>
            </w:r>
          </w:p>
        </w:tc>
        <w:tc>
          <w:tcPr>
            <w:tcW w:w="1401" w:type="dxa"/>
            <w:tcBorders>
              <w:top w:val="single" w:color="auto" w:sz="8" w:space="0"/>
            </w:tcBorders>
            <w:shd w:val="clear" w:color="auto" w:fill="auto"/>
            <w:vAlign w:val="center"/>
          </w:tcPr>
          <w:p w14:paraId="582C84B3">
            <w:pPr>
              <w:pStyle w:val="240"/>
              <w:jc w:val="center"/>
              <w:rPr>
                <w:rFonts w:hint="eastAsia" w:ascii="宋体" w:hAnsi="宋体"/>
                <w:sz w:val="18"/>
                <w:szCs w:val="18"/>
              </w:rPr>
            </w:pPr>
            <w:r>
              <w:rPr>
                <w:rFonts w:hint="eastAsia" w:ascii="宋体" w:hAnsi="宋体"/>
                <w:sz w:val="18"/>
                <w:szCs w:val="18"/>
              </w:rPr>
              <w:t>≤800</w:t>
            </w:r>
          </w:p>
        </w:tc>
        <w:tc>
          <w:tcPr>
            <w:tcW w:w="1402" w:type="dxa"/>
            <w:tcBorders>
              <w:top w:val="single" w:color="auto" w:sz="8" w:space="0"/>
            </w:tcBorders>
            <w:shd w:val="clear" w:color="auto" w:fill="auto"/>
            <w:vAlign w:val="center"/>
          </w:tcPr>
          <w:p w14:paraId="3EEB99C0">
            <w:pPr>
              <w:pStyle w:val="240"/>
              <w:jc w:val="center"/>
              <w:rPr>
                <w:rFonts w:hint="eastAsia" w:ascii="宋体" w:hAnsi="宋体"/>
                <w:sz w:val="18"/>
                <w:szCs w:val="18"/>
              </w:rPr>
            </w:pPr>
            <w:r>
              <w:rPr>
                <w:rFonts w:hint="eastAsia" w:ascii="宋体" w:hAnsi="宋体"/>
                <w:sz w:val="18"/>
                <w:szCs w:val="18"/>
              </w:rPr>
              <w:t>-</w:t>
            </w:r>
          </w:p>
        </w:tc>
      </w:tr>
      <w:tr w14:paraId="2C101F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813" w:type="dxa"/>
            <w:shd w:val="clear" w:color="auto" w:fill="auto"/>
            <w:vAlign w:val="center"/>
          </w:tcPr>
          <w:p w14:paraId="221A7591">
            <w:pPr>
              <w:pStyle w:val="240"/>
              <w:jc w:val="center"/>
              <w:rPr>
                <w:rFonts w:hint="eastAsia" w:ascii="宋体" w:hAnsi="宋体"/>
                <w:sz w:val="18"/>
                <w:szCs w:val="18"/>
              </w:rPr>
            </w:pPr>
            <w:r>
              <w:rPr>
                <w:rFonts w:hint="eastAsia" w:ascii="宋体" w:hAnsi="宋体"/>
                <w:sz w:val="18"/>
                <w:szCs w:val="18"/>
              </w:rPr>
              <w:t>0.5</w:t>
            </w:r>
          </w:p>
        </w:tc>
        <w:tc>
          <w:tcPr>
            <w:tcW w:w="1417" w:type="dxa"/>
            <w:shd w:val="clear" w:color="auto" w:fill="auto"/>
            <w:vAlign w:val="center"/>
          </w:tcPr>
          <w:p w14:paraId="6C1D0CD2">
            <w:pPr>
              <w:pStyle w:val="240"/>
              <w:jc w:val="center"/>
              <w:rPr>
                <w:rFonts w:hint="eastAsia" w:ascii="宋体" w:hAnsi="宋体"/>
                <w:sz w:val="18"/>
                <w:szCs w:val="18"/>
              </w:rPr>
            </w:pPr>
            <w:r>
              <w:rPr>
                <w:rFonts w:hint="eastAsia" w:ascii="宋体" w:hAnsi="宋体"/>
                <w:sz w:val="18"/>
                <w:szCs w:val="18"/>
              </w:rPr>
              <w:t xml:space="preserve">≤720 </w:t>
            </w:r>
          </w:p>
        </w:tc>
        <w:tc>
          <w:tcPr>
            <w:tcW w:w="1418" w:type="dxa"/>
            <w:shd w:val="clear" w:color="auto" w:fill="auto"/>
            <w:vAlign w:val="center"/>
          </w:tcPr>
          <w:p w14:paraId="3181C9A1">
            <w:pPr>
              <w:pStyle w:val="240"/>
              <w:jc w:val="center"/>
              <w:rPr>
                <w:rFonts w:hint="eastAsia" w:ascii="宋体" w:hAnsi="宋体"/>
                <w:sz w:val="18"/>
                <w:szCs w:val="18"/>
              </w:rPr>
            </w:pPr>
            <w:r>
              <w:rPr>
                <w:rFonts w:hint="eastAsia" w:ascii="宋体" w:hAnsi="宋体"/>
                <w:sz w:val="18"/>
                <w:szCs w:val="18"/>
              </w:rPr>
              <w:t>≤700</w:t>
            </w:r>
          </w:p>
        </w:tc>
        <w:tc>
          <w:tcPr>
            <w:tcW w:w="1843" w:type="dxa"/>
            <w:shd w:val="clear" w:color="auto" w:fill="auto"/>
            <w:vAlign w:val="center"/>
          </w:tcPr>
          <w:p w14:paraId="5B20EA59">
            <w:pPr>
              <w:pStyle w:val="240"/>
              <w:jc w:val="center"/>
              <w:rPr>
                <w:rFonts w:hint="eastAsia" w:ascii="宋体" w:hAnsi="宋体"/>
                <w:sz w:val="18"/>
                <w:szCs w:val="18"/>
              </w:rPr>
            </w:pPr>
            <w:r>
              <w:rPr>
                <w:rFonts w:hint="eastAsia" w:ascii="宋体" w:hAnsi="宋体"/>
                <w:sz w:val="18"/>
                <w:szCs w:val="18"/>
              </w:rPr>
              <w:t>1.5</w:t>
            </w:r>
          </w:p>
        </w:tc>
        <w:tc>
          <w:tcPr>
            <w:tcW w:w="1401" w:type="dxa"/>
            <w:shd w:val="clear" w:color="auto" w:fill="auto"/>
            <w:vAlign w:val="center"/>
          </w:tcPr>
          <w:p w14:paraId="18CB2F67">
            <w:pPr>
              <w:pStyle w:val="240"/>
              <w:jc w:val="center"/>
              <w:rPr>
                <w:rFonts w:hint="eastAsia" w:ascii="宋体" w:hAnsi="宋体"/>
                <w:sz w:val="18"/>
                <w:szCs w:val="18"/>
              </w:rPr>
            </w:pPr>
            <w:r>
              <w:rPr>
                <w:rFonts w:hint="eastAsia" w:ascii="宋体" w:hAnsi="宋体"/>
                <w:sz w:val="18"/>
                <w:szCs w:val="18"/>
              </w:rPr>
              <w:t>≤790</w:t>
            </w:r>
          </w:p>
        </w:tc>
        <w:tc>
          <w:tcPr>
            <w:tcW w:w="1402" w:type="dxa"/>
            <w:shd w:val="clear" w:color="auto" w:fill="auto"/>
            <w:vAlign w:val="center"/>
          </w:tcPr>
          <w:p w14:paraId="45E63871">
            <w:pPr>
              <w:pStyle w:val="240"/>
              <w:jc w:val="center"/>
              <w:rPr>
                <w:rFonts w:hint="eastAsia" w:ascii="宋体" w:hAnsi="宋体"/>
                <w:sz w:val="18"/>
                <w:szCs w:val="18"/>
              </w:rPr>
            </w:pPr>
            <w:r>
              <w:rPr>
                <w:rFonts w:hint="eastAsia" w:ascii="宋体" w:hAnsi="宋体"/>
                <w:sz w:val="18"/>
                <w:szCs w:val="18"/>
              </w:rPr>
              <w:t>-</w:t>
            </w:r>
          </w:p>
        </w:tc>
      </w:tr>
    </w:tbl>
    <w:p w14:paraId="0193FEF6">
      <w:pPr>
        <w:pStyle w:val="115"/>
        <w:numPr>
          <w:ilvl w:val="0"/>
          <w:numId w:val="0"/>
        </w:numPr>
        <w:spacing w:before="156" w:after="156"/>
        <w:jc w:val="both"/>
      </w:pPr>
    </w:p>
    <w:p w14:paraId="25A8D7F8">
      <w:pPr>
        <w:pStyle w:val="115"/>
        <w:numPr>
          <w:ilvl w:val="0"/>
          <w:numId w:val="47"/>
        </w:numPr>
        <w:spacing w:before="156" w:after="156"/>
      </w:pPr>
      <w:r>
        <w:rPr>
          <w:rFonts w:hint="eastAsia"/>
        </w:rPr>
        <w:t>感应电炉吨钢水综合电耗和电弧炉吨钢水综合电耗限定值和准入值</w:t>
      </w:r>
      <w:r>
        <w:rPr>
          <w:rFonts w:hint="eastAsia" w:ascii="宋体" w:hAnsi="宋体" w:eastAsia="宋体"/>
        </w:rPr>
        <w:t>（续）</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813"/>
        <w:gridCol w:w="1417"/>
        <w:gridCol w:w="1418"/>
        <w:gridCol w:w="1843"/>
        <w:gridCol w:w="1401"/>
        <w:gridCol w:w="1402"/>
      </w:tblGrid>
      <w:tr w14:paraId="64A446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813" w:type="dxa"/>
            <w:vMerge w:val="restart"/>
            <w:shd w:val="clear" w:color="auto" w:fill="auto"/>
            <w:vAlign w:val="center"/>
          </w:tcPr>
          <w:p w14:paraId="59720C33">
            <w:pPr>
              <w:pStyle w:val="240"/>
              <w:spacing w:line="240" w:lineRule="exact"/>
              <w:jc w:val="center"/>
              <w:rPr>
                <w:rFonts w:hint="eastAsia" w:ascii="宋体" w:hAnsi="宋体"/>
                <w:sz w:val="18"/>
                <w:szCs w:val="18"/>
              </w:rPr>
            </w:pPr>
            <w:r>
              <w:rPr>
                <w:rFonts w:hint="eastAsia" w:ascii="宋体" w:hAnsi="宋体"/>
                <w:sz w:val="18"/>
                <w:szCs w:val="18"/>
              </w:rPr>
              <w:t>感应电炉容量</w:t>
            </w:r>
          </w:p>
          <w:p w14:paraId="074AF455">
            <w:pPr>
              <w:pStyle w:val="240"/>
              <w:jc w:val="center"/>
              <w:rPr>
                <w:rFonts w:hint="eastAsia" w:ascii="宋体" w:hAnsi="宋体"/>
                <w:sz w:val="18"/>
                <w:szCs w:val="18"/>
              </w:rPr>
            </w:pPr>
            <w:r>
              <w:rPr>
                <w:rFonts w:hint="eastAsia" w:ascii="宋体" w:hAnsi="宋体"/>
                <w:sz w:val="18"/>
                <w:szCs w:val="18"/>
              </w:rPr>
              <w:t>t</w:t>
            </w:r>
          </w:p>
        </w:tc>
        <w:tc>
          <w:tcPr>
            <w:tcW w:w="2835" w:type="dxa"/>
            <w:gridSpan w:val="2"/>
            <w:shd w:val="clear" w:color="auto" w:fill="auto"/>
            <w:vAlign w:val="center"/>
          </w:tcPr>
          <w:p w14:paraId="618C1CF8">
            <w:pPr>
              <w:pStyle w:val="240"/>
              <w:spacing w:line="240" w:lineRule="exact"/>
              <w:jc w:val="center"/>
              <w:rPr>
                <w:rFonts w:hint="eastAsia" w:ascii="宋体" w:hAnsi="宋体"/>
                <w:sz w:val="18"/>
                <w:szCs w:val="18"/>
              </w:rPr>
            </w:pPr>
            <w:r>
              <w:rPr>
                <w:rFonts w:hint="eastAsia" w:ascii="宋体" w:hAnsi="宋体"/>
                <w:sz w:val="18"/>
                <w:szCs w:val="18"/>
              </w:rPr>
              <w:t>感应电炉吨钢水综合电耗</w:t>
            </w:r>
          </w:p>
          <w:p w14:paraId="574049DB">
            <w:pPr>
              <w:pStyle w:val="240"/>
              <w:jc w:val="center"/>
              <w:rPr>
                <w:rFonts w:hint="eastAsia" w:ascii="宋体" w:hAnsi="宋体"/>
                <w:sz w:val="18"/>
                <w:szCs w:val="18"/>
              </w:rPr>
            </w:pPr>
            <w:r>
              <w:rPr>
                <w:rFonts w:hint="eastAsia" w:ascii="宋体" w:hAnsi="宋体"/>
                <w:sz w:val="18"/>
                <w:szCs w:val="18"/>
              </w:rPr>
              <w:t>kW</w:t>
            </w:r>
            <w:r>
              <w:rPr>
                <w:sz w:val="18"/>
              </w:rPr>
              <w:t>·</w:t>
            </w:r>
            <w:r>
              <w:rPr>
                <w:rFonts w:hint="eastAsia" w:ascii="宋体" w:hAnsi="宋体"/>
                <w:sz w:val="18"/>
                <w:szCs w:val="18"/>
              </w:rPr>
              <w:t>h/t</w:t>
            </w:r>
          </w:p>
        </w:tc>
        <w:tc>
          <w:tcPr>
            <w:tcW w:w="1843" w:type="dxa"/>
            <w:vMerge w:val="restart"/>
            <w:shd w:val="clear" w:color="auto" w:fill="auto"/>
            <w:vAlign w:val="center"/>
          </w:tcPr>
          <w:p w14:paraId="585E48C0">
            <w:pPr>
              <w:pStyle w:val="240"/>
              <w:spacing w:line="240" w:lineRule="exact"/>
              <w:jc w:val="center"/>
              <w:rPr>
                <w:rFonts w:hint="eastAsia" w:ascii="宋体" w:hAnsi="宋体"/>
                <w:sz w:val="18"/>
                <w:szCs w:val="18"/>
              </w:rPr>
            </w:pPr>
            <w:r>
              <w:rPr>
                <w:rFonts w:hint="eastAsia" w:ascii="宋体" w:hAnsi="宋体"/>
                <w:sz w:val="18"/>
                <w:szCs w:val="18"/>
              </w:rPr>
              <w:t>电弧炉容量</w:t>
            </w:r>
          </w:p>
          <w:p w14:paraId="3419C0B2">
            <w:pPr>
              <w:pStyle w:val="240"/>
              <w:jc w:val="center"/>
              <w:rPr>
                <w:rFonts w:hint="eastAsia" w:ascii="宋体" w:hAnsi="宋体"/>
                <w:sz w:val="18"/>
                <w:szCs w:val="18"/>
              </w:rPr>
            </w:pPr>
            <w:r>
              <w:rPr>
                <w:rFonts w:hint="eastAsia" w:ascii="宋体" w:hAnsi="宋体"/>
                <w:sz w:val="18"/>
                <w:szCs w:val="18"/>
              </w:rPr>
              <w:t>t</w:t>
            </w:r>
          </w:p>
        </w:tc>
        <w:tc>
          <w:tcPr>
            <w:tcW w:w="2803" w:type="dxa"/>
            <w:gridSpan w:val="2"/>
            <w:shd w:val="clear" w:color="auto" w:fill="auto"/>
            <w:vAlign w:val="center"/>
          </w:tcPr>
          <w:p w14:paraId="5B02496D">
            <w:pPr>
              <w:pStyle w:val="240"/>
              <w:spacing w:line="240" w:lineRule="exact"/>
              <w:jc w:val="center"/>
              <w:rPr>
                <w:rFonts w:hint="eastAsia" w:ascii="宋体" w:hAnsi="宋体"/>
                <w:sz w:val="18"/>
                <w:szCs w:val="18"/>
              </w:rPr>
            </w:pPr>
            <w:r>
              <w:rPr>
                <w:rFonts w:hint="eastAsia" w:ascii="宋体" w:hAnsi="宋体"/>
                <w:sz w:val="18"/>
                <w:szCs w:val="18"/>
              </w:rPr>
              <w:t>电弧炉吨钢水综合电耗</w:t>
            </w:r>
          </w:p>
          <w:p w14:paraId="01C7AF7F">
            <w:pPr>
              <w:pStyle w:val="240"/>
              <w:jc w:val="center"/>
              <w:rPr>
                <w:rFonts w:hint="eastAsia" w:ascii="宋体" w:hAnsi="宋体"/>
                <w:sz w:val="18"/>
                <w:szCs w:val="18"/>
              </w:rPr>
            </w:pPr>
            <w:r>
              <w:rPr>
                <w:rFonts w:hint="eastAsia" w:ascii="宋体" w:hAnsi="宋体"/>
                <w:sz w:val="18"/>
                <w:szCs w:val="18"/>
              </w:rPr>
              <w:t>kW</w:t>
            </w:r>
            <w:r>
              <w:rPr>
                <w:sz w:val="18"/>
              </w:rPr>
              <w:t>·</w:t>
            </w:r>
            <w:r>
              <w:rPr>
                <w:rFonts w:hint="eastAsia" w:ascii="宋体" w:hAnsi="宋体"/>
                <w:sz w:val="18"/>
                <w:szCs w:val="18"/>
              </w:rPr>
              <w:t>h/t</w:t>
            </w:r>
          </w:p>
        </w:tc>
      </w:tr>
      <w:tr w14:paraId="1A0CC8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813" w:type="dxa"/>
            <w:vMerge w:val="continue"/>
            <w:shd w:val="clear" w:color="auto" w:fill="auto"/>
            <w:vAlign w:val="center"/>
          </w:tcPr>
          <w:p w14:paraId="0D409C09">
            <w:pPr>
              <w:pStyle w:val="240"/>
              <w:jc w:val="center"/>
              <w:rPr>
                <w:rFonts w:hint="eastAsia" w:ascii="宋体" w:hAnsi="宋体"/>
                <w:sz w:val="18"/>
                <w:szCs w:val="18"/>
              </w:rPr>
            </w:pPr>
          </w:p>
        </w:tc>
        <w:tc>
          <w:tcPr>
            <w:tcW w:w="1417" w:type="dxa"/>
            <w:shd w:val="clear" w:color="auto" w:fill="auto"/>
            <w:vAlign w:val="center"/>
          </w:tcPr>
          <w:p w14:paraId="02AEAB69">
            <w:pPr>
              <w:pStyle w:val="240"/>
              <w:jc w:val="center"/>
              <w:rPr>
                <w:rFonts w:hint="eastAsia" w:ascii="宋体" w:hAnsi="宋体"/>
                <w:sz w:val="18"/>
                <w:szCs w:val="18"/>
              </w:rPr>
            </w:pPr>
            <w:r>
              <w:rPr>
                <w:rFonts w:hint="eastAsia" w:ascii="宋体" w:hAnsi="宋体"/>
                <w:sz w:val="18"/>
                <w:szCs w:val="18"/>
              </w:rPr>
              <w:t>限定值</w:t>
            </w:r>
          </w:p>
        </w:tc>
        <w:tc>
          <w:tcPr>
            <w:tcW w:w="1418" w:type="dxa"/>
            <w:shd w:val="clear" w:color="auto" w:fill="auto"/>
            <w:vAlign w:val="center"/>
          </w:tcPr>
          <w:p w14:paraId="01F2A015">
            <w:pPr>
              <w:pStyle w:val="240"/>
              <w:jc w:val="center"/>
              <w:rPr>
                <w:rFonts w:hint="eastAsia" w:ascii="宋体" w:hAnsi="宋体"/>
                <w:sz w:val="18"/>
                <w:szCs w:val="18"/>
              </w:rPr>
            </w:pPr>
            <w:r>
              <w:rPr>
                <w:rFonts w:hint="eastAsia" w:ascii="宋体" w:hAnsi="宋体"/>
                <w:sz w:val="18"/>
                <w:szCs w:val="18"/>
              </w:rPr>
              <w:t>准入值</w:t>
            </w:r>
          </w:p>
        </w:tc>
        <w:tc>
          <w:tcPr>
            <w:tcW w:w="1843" w:type="dxa"/>
            <w:vMerge w:val="continue"/>
            <w:shd w:val="clear" w:color="auto" w:fill="auto"/>
            <w:vAlign w:val="center"/>
          </w:tcPr>
          <w:p w14:paraId="53F3FD4D">
            <w:pPr>
              <w:pStyle w:val="240"/>
              <w:jc w:val="center"/>
              <w:rPr>
                <w:rFonts w:hint="eastAsia" w:ascii="宋体" w:hAnsi="宋体"/>
                <w:sz w:val="18"/>
                <w:szCs w:val="18"/>
              </w:rPr>
            </w:pPr>
          </w:p>
        </w:tc>
        <w:tc>
          <w:tcPr>
            <w:tcW w:w="1401" w:type="dxa"/>
            <w:shd w:val="clear" w:color="auto" w:fill="auto"/>
            <w:vAlign w:val="center"/>
          </w:tcPr>
          <w:p w14:paraId="5249623C">
            <w:pPr>
              <w:pStyle w:val="240"/>
              <w:jc w:val="center"/>
              <w:rPr>
                <w:rFonts w:hint="eastAsia" w:ascii="宋体" w:hAnsi="宋体"/>
                <w:sz w:val="18"/>
                <w:szCs w:val="18"/>
              </w:rPr>
            </w:pPr>
            <w:r>
              <w:rPr>
                <w:rFonts w:hint="eastAsia" w:ascii="宋体" w:hAnsi="宋体"/>
                <w:sz w:val="18"/>
                <w:szCs w:val="18"/>
              </w:rPr>
              <w:t>限定值</w:t>
            </w:r>
          </w:p>
        </w:tc>
        <w:tc>
          <w:tcPr>
            <w:tcW w:w="1402" w:type="dxa"/>
            <w:shd w:val="clear" w:color="auto" w:fill="auto"/>
            <w:vAlign w:val="center"/>
          </w:tcPr>
          <w:p w14:paraId="644A863D">
            <w:pPr>
              <w:pStyle w:val="240"/>
              <w:jc w:val="center"/>
              <w:rPr>
                <w:rFonts w:hint="eastAsia" w:ascii="宋体" w:hAnsi="宋体"/>
                <w:sz w:val="18"/>
                <w:szCs w:val="18"/>
              </w:rPr>
            </w:pPr>
            <w:r>
              <w:rPr>
                <w:rFonts w:hint="eastAsia" w:ascii="宋体" w:hAnsi="宋体"/>
                <w:sz w:val="18"/>
                <w:szCs w:val="18"/>
              </w:rPr>
              <w:t>准入值</w:t>
            </w:r>
          </w:p>
        </w:tc>
      </w:tr>
      <w:tr w14:paraId="41D475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813" w:type="dxa"/>
            <w:shd w:val="clear" w:color="auto" w:fill="auto"/>
            <w:vAlign w:val="center"/>
          </w:tcPr>
          <w:p w14:paraId="776DDCC9">
            <w:pPr>
              <w:pStyle w:val="240"/>
              <w:jc w:val="center"/>
              <w:rPr>
                <w:rFonts w:hint="eastAsia" w:ascii="宋体" w:hAnsi="宋体"/>
                <w:sz w:val="18"/>
                <w:szCs w:val="18"/>
              </w:rPr>
            </w:pPr>
            <w:r>
              <w:rPr>
                <w:rFonts w:hint="eastAsia" w:ascii="宋体" w:hAnsi="宋体"/>
                <w:sz w:val="18"/>
                <w:szCs w:val="18"/>
              </w:rPr>
              <w:t>1</w:t>
            </w:r>
          </w:p>
        </w:tc>
        <w:tc>
          <w:tcPr>
            <w:tcW w:w="1417" w:type="dxa"/>
            <w:shd w:val="clear" w:color="auto" w:fill="auto"/>
            <w:vAlign w:val="center"/>
          </w:tcPr>
          <w:p w14:paraId="4CBBF38B">
            <w:pPr>
              <w:pStyle w:val="240"/>
              <w:jc w:val="center"/>
              <w:rPr>
                <w:rFonts w:hint="eastAsia" w:ascii="宋体" w:hAnsi="宋体"/>
                <w:sz w:val="18"/>
                <w:szCs w:val="18"/>
              </w:rPr>
            </w:pPr>
            <w:r>
              <w:rPr>
                <w:rFonts w:hint="eastAsia" w:ascii="宋体" w:hAnsi="宋体"/>
                <w:sz w:val="18"/>
                <w:szCs w:val="18"/>
              </w:rPr>
              <w:t>≤710</w:t>
            </w:r>
          </w:p>
        </w:tc>
        <w:tc>
          <w:tcPr>
            <w:tcW w:w="1418" w:type="dxa"/>
            <w:shd w:val="clear" w:color="auto" w:fill="auto"/>
            <w:vAlign w:val="center"/>
          </w:tcPr>
          <w:p w14:paraId="617B0452">
            <w:pPr>
              <w:pStyle w:val="240"/>
              <w:jc w:val="center"/>
              <w:rPr>
                <w:rFonts w:hint="eastAsia" w:ascii="宋体" w:hAnsi="宋体"/>
                <w:sz w:val="18"/>
                <w:szCs w:val="18"/>
              </w:rPr>
            </w:pPr>
            <w:r>
              <w:rPr>
                <w:rFonts w:hint="eastAsia" w:ascii="宋体" w:hAnsi="宋体"/>
                <w:sz w:val="18"/>
                <w:szCs w:val="18"/>
              </w:rPr>
              <w:t>≤690</w:t>
            </w:r>
          </w:p>
        </w:tc>
        <w:tc>
          <w:tcPr>
            <w:tcW w:w="1843" w:type="dxa"/>
            <w:shd w:val="clear" w:color="auto" w:fill="auto"/>
            <w:vAlign w:val="center"/>
          </w:tcPr>
          <w:p w14:paraId="47619C0C">
            <w:pPr>
              <w:pStyle w:val="240"/>
              <w:jc w:val="center"/>
              <w:rPr>
                <w:rFonts w:hint="eastAsia" w:ascii="宋体" w:hAnsi="宋体"/>
                <w:sz w:val="18"/>
                <w:szCs w:val="18"/>
              </w:rPr>
            </w:pPr>
            <w:r>
              <w:rPr>
                <w:rFonts w:hint="eastAsia" w:ascii="宋体" w:hAnsi="宋体"/>
                <w:sz w:val="18"/>
                <w:szCs w:val="18"/>
              </w:rPr>
              <w:t xml:space="preserve">≤1.5 </w:t>
            </w:r>
          </w:p>
        </w:tc>
        <w:tc>
          <w:tcPr>
            <w:tcW w:w="1401" w:type="dxa"/>
            <w:shd w:val="clear" w:color="auto" w:fill="auto"/>
            <w:vAlign w:val="center"/>
          </w:tcPr>
          <w:p w14:paraId="06AC6589">
            <w:pPr>
              <w:pStyle w:val="240"/>
              <w:jc w:val="center"/>
              <w:rPr>
                <w:rFonts w:hint="eastAsia" w:ascii="宋体" w:hAnsi="宋体"/>
                <w:sz w:val="18"/>
                <w:szCs w:val="18"/>
              </w:rPr>
            </w:pPr>
            <w:r>
              <w:rPr>
                <w:rFonts w:hint="eastAsia" w:ascii="宋体" w:hAnsi="宋体"/>
                <w:sz w:val="18"/>
                <w:szCs w:val="18"/>
              </w:rPr>
              <w:t>—</w:t>
            </w:r>
          </w:p>
        </w:tc>
        <w:tc>
          <w:tcPr>
            <w:tcW w:w="1402" w:type="dxa"/>
            <w:shd w:val="clear" w:color="auto" w:fill="auto"/>
            <w:vAlign w:val="center"/>
          </w:tcPr>
          <w:p w14:paraId="1EBFDED6">
            <w:pPr>
              <w:pStyle w:val="240"/>
              <w:jc w:val="center"/>
              <w:rPr>
                <w:rFonts w:hint="eastAsia" w:ascii="宋体" w:hAnsi="宋体"/>
                <w:sz w:val="18"/>
                <w:szCs w:val="18"/>
              </w:rPr>
            </w:pPr>
            <w:r>
              <w:rPr>
                <w:rFonts w:hint="eastAsia" w:ascii="宋体" w:hAnsi="宋体"/>
                <w:sz w:val="18"/>
                <w:szCs w:val="18"/>
              </w:rPr>
              <w:t>≤760</w:t>
            </w:r>
          </w:p>
        </w:tc>
      </w:tr>
      <w:tr w14:paraId="6E05D2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813" w:type="dxa"/>
            <w:shd w:val="clear" w:color="auto" w:fill="auto"/>
            <w:vAlign w:val="center"/>
          </w:tcPr>
          <w:p w14:paraId="0EB482EA">
            <w:pPr>
              <w:pStyle w:val="240"/>
              <w:jc w:val="center"/>
              <w:rPr>
                <w:rFonts w:hint="eastAsia" w:ascii="宋体" w:hAnsi="宋体"/>
                <w:sz w:val="18"/>
                <w:szCs w:val="18"/>
              </w:rPr>
            </w:pPr>
            <w:r>
              <w:rPr>
                <w:rFonts w:hint="eastAsia" w:ascii="宋体" w:hAnsi="宋体"/>
                <w:sz w:val="18"/>
                <w:szCs w:val="18"/>
              </w:rPr>
              <w:t>2</w:t>
            </w:r>
          </w:p>
        </w:tc>
        <w:tc>
          <w:tcPr>
            <w:tcW w:w="1417" w:type="dxa"/>
            <w:shd w:val="clear" w:color="auto" w:fill="auto"/>
            <w:vAlign w:val="center"/>
          </w:tcPr>
          <w:p w14:paraId="3E0EFC89">
            <w:pPr>
              <w:pStyle w:val="240"/>
              <w:jc w:val="center"/>
              <w:rPr>
                <w:rFonts w:hint="eastAsia" w:ascii="宋体" w:hAnsi="宋体"/>
                <w:sz w:val="18"/>
                <w:szCs w:val="18"/>
              </w:rPr>
            </w:pPr>
            <w:r>
              <w:rPr>
                <w:rFonts w:hint="eastAsia" w:ascii="宋体" w:hAnsi="宋体"/>
                <w:sz w:val="18"/>
                <w:szCs w:val="18"/>
              </w:rPr>
              <w:t>≤700</w:t>
            </w:r>
          </w:p>
        </w:tc>
        <w:tc>
          <w:tcPr>
            <w:tcW w:w="1418" w:type="dxa"/>
            <w:shd w:val="clear" w:color="auto" w:fill="auto"/>
            <w:vAlign w:val="center"/>
          </w:tcPr>
          <w:p w14:paraId="5FFAF014">
            <w:pPr>
              <w:pStyle w:val="240"/>
              <w:jc w:val="center"/>
              <w:rPr>
                <w:rFonts w:hint="eastAsia" w:ascii="宋体" w:hAnsi="宋体"/>
                <w:sz w:val="18"/>
                <w:szCs w:val="18"/>
              </w:rPr>
            </w:pPr>
            <w:r>
              <w:rPr>
                <w:rFonts w:hint="eastAsia" w:ascii="宋体" w:hAnsi="宋体"/>
                <w:sz w:val="18"/>
                <w:szCs w:val="18"/>
              </w:rPr>
              <w:t>≤680</w:t>
            </w:r>
          </w:p>
        </w:tc>
        <w:tc>
          <w:tcPr>
            <w:tcW w:w="1843" w:type="dxa"/>
            <w:shd w:val="clear" w:color="auto" w:fill="auto"/>
            <w:vAlign w:val="center"/>
          </w:tcPr>
          <w:p w14:paraId="38D92714">
            <w:pPr>
              <w:pStyle w:val="240"/>
              <w:jc w:val="center"/>
              <w:rPr>
                <w:rFonts w:hint="eastAsia" w:ascii="宋体" w:hAnsi="宋体"/>
                <w:sz w:val="18"/>
                <w:szCs w:val="18"/>
              </w:rPr>
            </w:pPr>
            <w:r>
              <w:rPr>
                <w:rFonts w:hint="eastAsia" w:ascii="宋体" w:hAnsi="宋体"/>
                <w:sz w:val="18"/>
                <w:szCs w:val="18"/>
              </w:rPr>
              <w:t>3</w:t>
            </w:r>
          </w:p>
        </w:tc>
        <w:tc>
          <w:tcPr>
            <w:tcW w:w="1401" w:type="dxa"/>
            <w:shd w:val="clear" w:color="auto" w:fill="auto"/>
            <w:vAlign w:val="center"/>
          </w:tcPr>
          <w:p w14:paraId="7DBCEEBF">
            <w:pPr>
              <w:pStyle w:val="240"/>
              <w:jc w:val="center"/>
              <w:rPr>
                <w:rFonts w:hint="eastAsia" w:ascii="宋体" w:hAnsi="宋体"/>
                <w:sz w:val="18"/>
                <w:szCs w:val="18"/>
              </w:rPr>
            </w:pPr>
            <w:r>
              <w:rPr>
                <w:rFonts w:hint="eastAsia" w:ascii="宋体" w:hAnsi="宋体"/>
                <w:sz w:val="18"/>
                <w:szCs w:val="18"/>
              </w:rPr>
              <w:t>≤770</w:t>
            </w:r>
          </w:p>
        </w:tc>
        <w:tc>
          <w:tcPr>
            <w:tcW w:w="1402" w:type="dxa"/>
            <w:shd w:val="clear" w:color="auto" w:fill="auto"/>
            <w:vAlign w:val="center"/>
          </w:tcPr>
          <w:p w14:paraId="54201656">
            <w:pPr>
              <w:pStyle w:val="240"/>
              <w:jc w:val="center"/>
              <w:rPr>
                <w:rFonts w:hint="eastAsia" w:ascii="宋体" w:hAnsi="宋体"/>
                <w:sz w:val="18"/>
                <w:szCs w:val="18"/>
              </w:rPr>
            </w:pPr>
            <w:r>
              <w:rPr>
                <w:rFonts w:hint="eastAsia" w:ascii="宋体" w:hAnsi="宋体"/>
                <w:sz w:val="18"/>
                <w:szCs w:val="18"/>
              </w:rPr>
              <w:t>≤740</w:t>
            </w:r>
          </w:p>
        </w:tc>
      </w:tr>
      <w:tr w14:paraId="7B8C8E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813" w:type="dxa"/>
            <w:shd w:val="clear" w:color="auto" w:fill="auto"/>
            <w:vAlign w:val="center"/>
          </w:tcPr>
          <w:p w14:paraId="7061FE35">
            <w:pPr>
              <w:pStyle w:val="240"/>
              <w:jc w:val="center"/>
              <w:rPr>
                <w:rFonts w:hint="eastAsia" w:ascii="宋体" w:hAnsi="宋体"/>
                <w:sz w:val="18"/>
                <w:szCs w:val="18"/>
              </w:rPr>
            </w:pPr>
            <w:r>
              <w:rPr>
                <w:rFonts w:hint="eastAsia" w:ascii="宋体" w:hAnsi="宋体"/>
                <w:sz w:val="18"/>
                <w:szCs w:val="18"/>
              </w:rPr>
              <w:t>3</w:t>
            </w:r>
          </w:p>
        </w:tc>
        <w:tc>
          <w:tcPr>
            <w:tcW w:w="1417" w:type="dxa"/>
            <w:shd w:val="clear" w:color="auto" w:fill="auto"/>
            <w:vAlign w:val="center"/>
          </w:tcPr>
          <w:p w14:paraId="7A622B77">
            <w:pPr>
              <w:pStyle w:val="240"/>
              <w:jc w:val="center"/>
              <w:rPr>
                <w:rFonts w:hint="eastAsia" w:ascii="宋体" w:hAnsi="宋体"/>
                <w:sz w:val="18"/>
                <w:szCs w:val="18"/>
              </w:rPr>
            </w:pPr>
            <w:r>
              <w:rPr>
                <w:rFonts w:hint="eastAsia" w:ascii="宋体" w:hAnsi="宋体"/>
                <w:sz w:val="18"/>
                <w:szCs w:val="18"/>
              </w:rPr>
              <w:t>≤690</w:t>
            </w:r>
          </w:p>
        </w:tc>
        <w:tc>
          <w:tcPr>
            <w:tcW w:w="1418" w:type="dxa"/>
            <w:shd w:val="clear" w:color="auto" w:fill="auto"/>
            <w:vAlign w:val="center"/>
          </w:tcPr>
          <w:p w14:paraId="232A69F2">
            <w:pPr>
              <w:pStyle w:val="240"/>
              <w:jc w:val="center"/>
              <w:rPr>
                <w:rFonts w:hint="eastAsia" w:ascii="宋体" w:hAnsi="宋体"/>
                <w:sz w:val="18"/>
                <w:szCs w:val="18"/>
              </w:rPr>
            </w:pPr>
            <w:r>
              <w:rPr>
                <w:rFonts w:hint="eastAsia" w:ascii="宋体" w:hAnsi="宋体"/>
                <w:sz w:val="18"/>
                <w:szCs w:val="18"/>
              </w:rPr>
              <w:t>≤670</w:t>
            </w:r>
          </w:p>
        </w:tc>
        <w:tc>
          <w:tcPr>
            <w:tcW w:w="1843" w:type="dxa"/>
            <w:shd w:val="clear" w:color="auto" w:fill="auto"/>
            <w:vAlign w:val="center"/>
          </w:tcPr>
          <w:p w14:paraId="2D2F2A2E">
            <w:pPr>
              <w:pStyle w:val="240"/>
              <w:jc w:val="center"/>
              <w:rPr>
                <w:rFonts w:hint="eastAsia" w:ascii="宋体" w:hAnsi="宋体"/>
                <w:sz w:val="18"/>
                <w:szCs w:val="18"/>
              </w:rPr>
            </w:pPr>
            <w:r>
              <w:rPr>
                <w:rFonts w:hint="eastAsia" w:ascii="宋体" w:hAnsi="宋体"/>
                <w:sz w:val="18"/>
                <w:szCs w:val="18"/>
              </w:rPr>
              <w:t>5</w:t>
            </w:r>
          </w:p>
        </w:tc>
        <w:tc>
          <w:tcPr>
            <w:tcW w:w="1401" w:type="dxa"/>
            <w:shd w:val="clear" w:color="auto" w:fill="auto"/>
            <w:vAlign w:val="center"/>
          </w:tcPr>
          <w:p w14:paraId="0571E235">
            <w:pPr>
              <w:pStyle w:val="240"/>
              <w:jc w:val="center"/>
              <w:rPr>
                <w:rFonts w:hint="eastAsia" w:ascii="宋体" w:hAnsi="宋体"/>
                <w:sz w:val="18"/>
                <w:szCs w:val="18"/>
              </w:rPr>
            </w:pPr>
            <w:r>
              <w:rPr>
                <w:rFonts w:hint="eastAsia" w:ascii="宋体" w:hAnsi="宋体"/>
                <w:sz w:val="18"/>
                <w:szCs w:val="18"/>
              </w:rPr>
              <w:t>≤760</w:t>
            </w:r>
          </w:p>
        </w:tc>
        <w:tc>
          <w:tcPr>
            <w:tcW w:w="1402" w:type="dxa"/>
            <w:shd w:val="clear" w:color="auto" w:fill="auto"/>
            <w:vAlign w:val="center"/>
          </w:tcPr>
          <w:p w14:paraId="7CFFC745">
            <w:pPr>
              <w:pStyle w:val="240"/>
              <w:jc w:val="center"/>
              <w:rPr>
                <w:rFonts w:hint="eastAsia" w:ascii="宋体" w:hAnsi="宋体"/>
                <w:sz w:val="18"/>
                <w:szCs w:val="18"/>
              </w:rPr>
            </w:pPr>
            <w:r>
              <w:rPr>
                <w:rFonts w:hint="eastAsia" w:ascii="宋体" w:hAnsi="宋体"/>
                <w:sz w:val="18"/>
                <w:szCs w:val="18"/>
              </w:rPr>
              <w:t>≤730</w:t>
            </w:r>
          </w:p>
        </w:tc>
      </w:tr>
      <w:tr w14:paraId="699717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813" w:type="dxa"/>
            <w:shd w:val="clear" w:color="auto" w:fill="auto"/>
            <w:vAlign w:val="center"/>
          </w:tcPr>
          <w:p w14:paraId="5A51843B">
            <w:pPr>
              <w:pStyle w:val="240"/>
              <w:jc w:val="center"/>
              <w:rPr>
                <w:rFonts w:hint="eastAsia" w:ascii="宋体" w:hAnsi="宋体"/>
                <w:sz w:val="18"/>
                <w:szCs w:val="18"/>
              </w:rPr>
            </w:pPr>
            <w:r>
              <w:rPr>
                <w:rFonts w:hint="eastAsia" w:ascii="宋体" w:hAnsi="宋体"/>
                <w:sz w:val="18"/>
                <w:szCs w:val="18"/>
              </w:rPr>
              <w:t>≥5</w:t>
            </w:r>
          </w:p>
        </w:tc>
        <w:tc>
          <w:tcPr>
            <w:tcW w:w="1417" w:type="dxa"/>
            <w:shd w:val="clear" w:color="auto" w:fill="auto"/>
            <w:vAlign w:val="center"/>
          </w:tcPr>
          <w:p w14:paraId="044AC472">
            <w:pPr>
              <w:pStyle w:val="240"/>
              <w:jc w:val="center"/>
              <w:rPr>
                <w:rFonts w:hint="eastAsia" w:ascii="宋体" w:hAnsi="宋体"/>
                <w:sz w:val="18"/>
                <w:szCs w:val="18"/>
              </w:rPr>
            </w:pPr>
            <w:r>
              <w:rPr>
                <w:rFonts w:hint="eastAsia" w:ascii="宋体" w:hAnsi="宋体"/>
                <w:sz w:val="18"/>
                <w:szCs w:val="18"/>
              </w:rPr>
              <w:t>≤680</w:t>
            </w:r>
          </w:p>
        </w:tc>
        <w:tc>
          <w:tcPr>
            <w:tcW w:w="1418" w:type="dxa"/>
            <w:shd w:val="clear" w:color="auto" w:fill="auto"/>
            <w:vAlign w:val="center"/>
          </w:tcPr>
          <w:p w14:paraId="435F0A4D">
            <w:pPr>
              <w:pStyle w:val="240"/>
              <w:jc w:val="center"/>
              <w:rPr>
                <w:rFonts w:hint="eastAsia" w:ascii="宋体" w:hAnsi="宋体"/>
                <w:sz w:val="18"/>
                <w:szCs w:val="18"/>
              </w:rPr>
            </w:pPr>
            <w:r>
              <w:rPr>
                <w:rFonts w:hint="eastAsia" w:ascii="宋体" w:hAnsi="宋体"/>
                <w:sz w:val="18"/>
                <w:szCs w:val="18"/>
              </w:rPr>
              <w:t>≤660</w:t>
            </w:r>
          </w:p>
        </w:tc>
        <w:tc>
          <w:tcPr>
            <w:tcW w:w="1843" w:type="dxa"/>
            <w:shd w:val="clear" w:color="auto" w:fill="auto"/>
            <w:vAlign w:val="center"/>
          </w:tcPr>
          <w:p w14:paraId="301B115A">
            <w:pPr>
              <w:pStyle w:val="240"/>
              <w:jc w:val="center"/>
              <w:rPr>
                <w:rFonts w:hint="eastAsia" w:ascii="宋体" w:hAnsi="宋体"/>
                <w:sz w:val="18"/>
                <w:szCs w:val="18"/>
              </w:rPr>
            </w:pPr>
            <w:r>
              <w:rPr>
                <w:rFonts w:hint="eastAsia" w:ascii="宋体" w:hAnsi="宋体"/>
                <w:sz w:val="18"/>
                <w:szCs w:val="18"/>
              </w:rPr>
              <w:t>10</w:t>
            </w:r>
          </w:p>
        </w:tc>
        <w:tc>
          <w:tcPr>
            <w:tcW w:w="1401" w:type="dxa"/>
            <w:shd w:val="clear" w:color="auto" w:fill="auto"/>
            <w:vAlign w:val="center"/>
          </w:tcPr>
          <w:p w14:paraId="19757A52">
            <w:pPr>
              <w:pStyle w:val="240"/>
              <w:jc w:val="center"/>
              <w:rPr>
                <w:rFonts w:hint="eastAsia" w:ascii="宋体" w:hAnsi="宋体"/>
                <w:sz w:val="18"/>
                <w:szCs w:val="18"/>
              </w:rPr>
            </w:pPr>
            <w:r>
              <w:rPr>
                <w:rFonts w:hint="eastAsia" w:ascii="宋体" w:hAnsi="宋体"/>
                <w:sz w:val="18"/>
                <w:szCs w:val="18"/>
              </w:rPr>
              <w:t>≤750</w:t>
            </w:r>
          </w:p>
        </w:tc>
        <w:tc>
          <w:tcPr>
            <w:tcW w:w="1402" w:type="dxa"/>
            <w:shd w:val="clear" w:color="auto" w:fill="auto"/>
            <w:vAlign w:val="center"/>
          </w:tcPr>
          <w:p w14:paraId="4AE26059">
            <w:pPr>
              <w:pStyle w:val="240"/>
              <w:jc w:val="center"/>
              <w:rPr>
                <w:rFonts w:hint="eastAsia" w:ascii="宋体" w:hAnsi="宋体"/>
                <w:sz w:val="18"/>
                <w:szCs w:val="18"/>
              </w:rPr>
            </w:pPr>
            <w:r>
              <w:rPr>
                <w:rFonts w:hint="eastAsia" w:ascii="宋体" w:hAnsi="宋体"/>
                <w:sz w:val="18"/>
                <w:szCs w:val="18"/>
              </w:rPr>
              <w:t>≤720</w:t>
            </w:r>
          </w:p>
        </w:tc>
      </w:tr>
      <w:tr w14:paraId="76A0BF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813" w:type="dxa"/>
            <w:shd w:val="clear" w:color="auto" w:fill="auto"/>
            <w:vAlign w:val="center"/>
          </w:tcPr>
          <w:p w14:paraId="647C4C55">
            <w:pPr>
              <w:pStyle w:val="240"/>
              <w:jc w:val="center"/>
              <w:rPr>
                <w:rFonts w:hint="eastAsia" w:ascii="宋体" w:hAnsi="宋体"/>
                <w:sz w:val="18"/>
                <w:szCs w:val="18"/>
              </w:rPr>
            </w:pPr>
            <w:r>
              <w:rPr>
                <w:rFonts w:hint="eastAsia" w:ascii="宋体" w:hAnsi="宋体"/>
                <w:sz w:val="18"/>
                <w:szCs w:val="18"/>
              </w:rPr>
              <w:t>-</w:t>
            </w:r>
          </w:p>
        </w:tc>
        <w:tc>
          <w:tcPr>
            <w:tcW w:w="1417" w:type="dxa"/>
            <w:shd w:val="clear" w:color="auto" w:fill="auto"/>
            <w:vAlign w:val="center"/>
          </w:tcPr>
          <w:p w14:paraId="0F89562A">
            <w:pPr>
              <w:pStyle w:val="240"/>
              <w:jc w:val="center"/>
              <w:rPr>
                <w:rFonts w:hint="eastAsia" w:ascii="宋体" w:hAnsi="宋体"/>
                <w:sz w:val="18"/>
                <w:szCs w:val="18"/>
              </w:rPr>
            </w:pPr>
            <w:r>
              <w:rPr>
                <w:rFonts w:hint="eastAsia" w:ascii="宋体" w:hAnsi="宋体"/>
                <w:sz w:val="18"/>
                <w:szCs w:val="18"/>
              </w:rPr>
              <w:t>-</w:t>
            </w:r>
          </w:p>
        </w:tc>
        <w:tc>
          <w:tcPr>
            <w:tcW w:w="1418" w:type="dxa"/>
            <w:shd w:val="clear" w:color="auto" w:fill="auto"/>
            <w:vAlign w:val="center"/>
          </w:tcPr>
          <w:p w14:paraId="22BB3159">
            <w:pPr>
              <w:pStyle w:val="240"/>
              <w:jc w:val="center"/>
              <w:rPr>
                <w:rFonts w:hint="eastAsia" w:ascii="宋体" w:hAnsi="宋体"/>
                <w:sz w:val="18"/>
                <w:szCs w:val="18"/>
              </w:rPr>
            </w:pPr>
            <w:r>
              <w:rPr>
                <w:rFonts w:hint="eastAsia" w:ascii="宋体" w:hAnsi="宋体"/>
                <w:sz w:val="18"/>
                <w:szCs w:val="18"/>
              </w:rPr>
              <w:t>-</w:t>
            </w:r>
          </w:p>
        </w:tc>
        <w:tc>
          <w:tcPr>
            <w:tcW w:w="1843" w:type="dxa"/>
            <w:shd w:val="clear" w:color="auto" w:fill="auto"/>
            <w:vAlign w:val="center"/>
          </w:tcPr>
          <w:p w14:paraId="0260DDA1">
            <w:pPr>
              <w:pStyle w:val="240"/>
              <w:jc w:val="center"/>
              <w:rPr>
                <w:rFonts w:hint="eastAsia" w:ascii="宋体" w:hAnsi="宋体"/>
                <w:sz w:val="18"/>
                <w:szCs w:val="18"/>
              </w:rPr>
            </w:pPr>
            <w:r>
              <w:rPr>
                <w:rFonts w:hint="eastAsia" w:ascii="宋体" w:hAnsi="宋体"/>
                <w:sz w:val="18"/>
                <w:szCs w:val="18"/>
              </w:rPr>
              <w:t>20</w:t>
            </w:r>
          </w:p>
        </w:tc>
        <w:tc>
          <w:tcPr>
            <w:tcW w:w="1401" w:type="dxa"/>
            <w:shd w:val="clear" w:color="auto" w:fill="auto"/>
            <w:vAlign w:val="center"/>
          </w:tcPr>
          <w:p w14:paraId="5923291A">
            <w:pPr>
              <w:pStyle w:val="240"/>
              <w:jc w:val="center"/>
              <w:rPr>
                <w:rFonts w:hint="eastAsia" w:ascii="宋体" w:hAnsi="宋体"/>
                <w:sz w:val="18"/>
                <w:szCs w:val="18"/>
              </w:rPr>
            </w:pPr>
            <w:r>
              <w:rPr>
                <w:rFonts w:hint="eastAsia" w:ascii="宋体" w:hAnsi="宋体"/>
                <w:sz w:val="18"/>
                <w:szCs w:val="18"/>
              </w:rPr>
              <w:t>≤740</w:t>
            </w:r>
          </w:p>
        </w:tc>
        <w:tc>
          <w:tcPr>
            <w:tcW w:w="1402" w:type="dxa"/>
            <w:shd w:val="clear" w:color="auto" w:fill="auto"/>
            <w:vAlign w:val="center"/>
          </w:tcPr>
          <w:p w14:paraId="34ECAC74">
            <w:pPr>
              <w:pStyle w:val="240"/>
              <w:jc w:val="center"/>
              <w:rPr>
                <w:rFonts w:hint="eastAsia" w:ascii="宋体" w:hAnsi="宋体"/>
                <w:sz w:val="18"/>
                <w:szCs w:val="18"/>
              </w:rPr>
            </w:pPr>
            <w:r>
              <w:rPr>
                <w:rFonts w:hint="eastAsia" w:ascii="宋体" w:hAnsi="宋体"/>
                <w:sz w:val="18"/>
                <w:szCs w:val="18"/>
              </w:rPr>
              <w:t>≤710</w:t>
            </w:r>
          </w:p>
        </w:tc>
      </w:tr>
      <w:tr w14:paraId="23BC15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813" w:type="dxa"/>
            <w:shd w:val="clear" w:color="auto" w:fill="auto"/>
            <w:vAlign w:val="center"/>
          </w:tcPr>
          <w:p w14:paraId="0FCFFD93">
            <w:pPr>
              <w:pStyle w:val="240"/>
              <w:jc w:val="center"/>
              <w:rPr>
                <w:rFonts w:hint="eastAsia" w:ascii="宋体" w:hAnsi="宋体"/>
                <w:sz w:val="18"/>
                <w:szCs w:val="18"/>
              </w:rPr>
            </w:pPr>
            <w:r>
              <w:rPr>
                <w:rFonts w:hint="eastAsia" w:ascii="宋体" w:hAnsi="宋体"/>
                <w:sz w:val="18"/>
                <w:szCs w:val="18"/>
              </w:rPr>
              <w:t>-</w:t>
            </w:r>
          </w:p>
        </w:tc>
        <w:tc>
          <w:tcPr>
            <w:tcW w:w="2835" w:type="dxa"/>
            <w:gridSpan w:val="2"/>
            <w:shd w:val="clear" w:color="auto" w:fill="auto"/>
            <w:vAlign w:val="center"/>
          </w:tcPr>
          <w:p w14:paraId="393F9BA3">
            <w:pPr>
              <w:pStyle w:val="240"/>
              <w:jc w:val="center"/>
              <w:rPr>
                <w:rFonts w:hint="eastAsia" w:ascii="宋体" w:hAnsi="宋体"/>
                <w:sz w:val="18"/>
                <w:szCs w:val="18"/>
              </w:rPr>
            </w:pPr>
            <w:r>
              <w:rPr>
                <w:rFonts w:hint="eastAsia" w:ascii="宋体" w:hAnsi="宋体"/>
                <w:sz w:val="18"/>
                <w:szCs w:val="18"/>
              </w:rPr>
              <w:t>-</w:t>
            </w:r>
          </w:p>
        </w:tc>
        <w:tc>
          <w:tcPr>
            <w:tcW w:w="1843" w:type="dxa"/>
            <w:shd w:val="clear" w:color="auto" w:fill="auto"/>
            <w:vAlign w:val="center"/>
          </w:tcPr>
          <w:p w14:paraId="58428EA3">
            <w:pPr>
              <w:pStyle w:val="240"/>
              <w:jc w:val="center"/>
              <w:rPr>
                <w:rFonts w:hint="eastAsia" w:ascii="宋体" w:hAnsi="宋体"/>
                <w:sz w:val="18"/>
                <w:szCs w:val="18"/>
              </w:rPr>
            </w:pPr>
            <w:r>
              <w:rPr>
                <w:rFonts w:hint="eastAsia" w:ascii="宋体" w:hAnsi="宋体"/>
                <w:sz w:val="18"/>
                <w:szCs w:val="18"/>
              </w:rPr>
              <w:t>30</w:t>
            </w:r>
          </w:p>
        </w:tc>
        <w:tc>
          <w:tcPr>
            <w:tcW w:w="1401" w:type="dxa"/>
            <w:shd w:val="clear" w:color="auto" w:fill="auto"/>
            <w:vAlign w:val="center"/>
          </w:tcPr>
          <w:p w14:paraId="0C66D591">
            <w:pPr>
              <w:pStyle w:val="240"/>
              <w:jc w:val="center"/>
              <w:rPr>
                <w:rFonts w:hint="eastAsia" w:ascii="宋体" w:hAnsi="宋体"/>
                <w:sz w:val="18"/>
                <w:szCs w:val="18"/>
              </w:rPr>
            </w:pPr>
            <w:r>
              <w:rPr>
                <w:rFonts w:hint="eastAsia" w:ascii="宋体" w:hAnsi="宋体"/>
                <w:sz w:val="18"/>
                <w:szCs w:val="18"/>
              </w:rPr>
              <w:t>≤710</w:t>
            </w:r>
          </w:p>
        </w:tc>
        <w:tc>
          <w:tcPr>
            <w:tcW w:w="1402" w:type="dxa"/>
            <w:shd w:val="clear" w:color="auto" w:fill="auto"/>
            <w:vAlign w:val="center"/>
          </w:tcPr>
          <w:p w14:paraId="601BC0B0">
            <w:pPr>
              <w:pStyle w:val="240"/>
              <w:jc w:val="center"/>
              <w:rPr>
                <w:rFonts w:hint="eastAsia" w:ascii="宋体" w:hAnsi="宋体"/>
                <w:sz w:val="18"/>
                <w:szCs w:val="18"/>
              </w:rPr>
            </w:pPr>
            <w:r>
              <w:rPr>
                <w:rFonts w:hint="eastAsia" w:ascii="宋体" w:hAnsi="宋体"/>
                <w:sz w:val="18"/>
                <w:szCs w:val="18"/>
              </w:rPr>
              <w:t>≤680</w:t>
            </w:r>
          </w:p>
        </w:tc>
      </w:tr>
      <w:tr w14:paraId="2528D4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813" w:type="dxa"/>
            <w:shd w:val="clear" w:color="auto" w:fill="auto"/>
            <w:vAlign w:val="center"/>
          </w:tcPr>
          <w:p w14:paraId="019D289A">
            <w:pPr>
              <w:pStyle w:val="240"/>
              <w:jc w:val="center"/>
              <w:rPr>
                <w:rFonts w:hint="eastAsia" w:ascii="宋体" w:hAnsi="宋体"/>
                <w:sz w:val="18"/>
                <w:szCs w:val="18"/>
              </w:rPr>
            </w:pPr>
            <w:r>
              <w:rPr>
                <w:rFonts w:hint="eastAsia" w:ascii="宋体" w:hAnsi="宋体"/>
                <w:sz w:val="18"/>
                <w:szCs w:val="18"/>
              </w:rPr>
              <w:t>-</w:t>
            </w:r>
          </w:p>
        </w:tc>
        <w:tc>
          <w:tcPr>
            <w:tcW w:w="2835" w:type="dxa"/>
            <w:gridSpan w:val="2"/>
            <w:shd w:val="clear" w:color="auto" w:fill="auto"/>
            <w:vAlign w:val="center"/>
          </w:tcPr>
          <w:p w14:paraId="052B483B">
            <w:pPr>
              <w:pStyle w:val="240"/>
              <w:jc w:val="center"/>
              <w:rPr>
                <w:rFonts w:hint="eastAsia" w:ascii="宋体" w:hAnsi="宋体"/>
                <w:sz w:val="18"/>
                <w:szCs w:val="18"/>
              </w:rPr>
            </w:pPr>
            <w:r>
              <w:rPr>
                <w:rFonts w:hint="eastAsia" w:ascii="宋体" w:hAnsi="宋体"/>
                <w:sz w:val="18"/>
                <w:szCs w:val="18"/>
              </w:rPr>
              <w:t>-</w:t>
            </w:r>
          </w:p>
        </w:tc>
        <w:tc>
          <w:tcPr>
            <w:tcW w:w="1843" w:type="dxa"/>
            <w:shd w:val="clear" w:color="auto" w:fill="auto"/>
            <w:vAlign w:val="center"/>
          </w:tcPr>
          <w:p w14:paraId="687EC052">
            <w:pPr>
              <w:pStyle w:val="240"/>
              <w:jc w:val="center"/>
              <w:rPr>
                <w:rFonts w:hint="eastAsia" w:ascii="宋体" w:hAnsi="宋体"/>
                <w:sz w:val="18"/>
                <w:szCs w:val="18"/>
              </w:rPr>
            </w:pPr>
            <w:r>
              <w:rPr>
                <w:rFonts w:hint="eastAsia" w:ascii="宋体" w:hAnsi="宋体"/>
                <w:sz w:val="18"/>
                <w:szCs w:val="18"/>
              </w:rPr>
              <w:t>≥50</w:t>
            </w:r>
          </w:p>
        </w:tc>
        <w:tc>
          <w:tcPr>
            <w:tcW w:w="1401" w:type="dxa"/>
            <w:shd w:val="clear" w:color="auto" w:fill="auto"/>
            <w:vAlign w:val="center"/>
          </w:tcPr>
          <w:p w14:paraId="61A4FAAA">
            <w:pPr>
              <w:pStyle w:val="240"/>
              <w:jc w:val="center"/>
              <w:rPr>
                <w:rFonts w:hint="eastAsia" w:ascii="宋体" w:hAnsi="宋体"/>
                <w:sz w:val="18"/>
                <w:szCs w:val="18"/>
              </w:rPr>
            </w:pPr>
            <w:r>
              <w:rPr>
                <w:rFonts w:hint="eastAsia" w:ascii="宋体" w:hAnsi="宋体"/>
                <w:sz w:val="18"/>
                <w:szCs w:val="18"/>
              </w:rPr>
              <w:t>≤690</w:t>
            </w:r>
          </w:p>
        </w:tc>
        <w:tc>
          <w:tcPr>
            <w:tcW w:w="1402" w:type="dxa"/>
            <w:shd w:val="clear" w:color="auto" w:fill="auto"/>
            <w:vAlign w:val="center"/>
          </w:tcPr>
          <w:p w14:paraId="1131236D">
            <w:pPr>
              <w:pStyle w:val="240"/>
              <w:jc w:val="center"/>
              <w:rPr>
                <w:rFonts w:hint="eastAsia" w:ascii="宋体" w:hAnsi="宋体"/>
                <w:sz w:val="18"/>
                <w:szCs w:val="18"/>
              </w:rPr>
            </w:pPr>
            <w:r>
              <w:rPr>
                <w:rFonts w:hint="eastAsia" w:ascii="宋体" w:hAnsi="宋体"/>
                <w:sz w:val="18"/>
                <w:szCs w:val="18"/>
              </w:rPr>
              <w:t>≤660</w:t>
            </w:r>
          </w:p>
        </w:tc>
      </w:tr>
      <w:tr w14:paraId="06FC29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294" w:type="dxa"/>
            <w:gridSpan w:val="6"/>
            <w:shd w:val="clear" w:color="auto" w:fill="auto"/>
            <w:vAlign w:val="center"/>
          </w:tcPr>
          <w:p w14:paraId="2A5A082D">
            <w:pPr>
              <w:pStyle w:val="183"/>
              <w:numPr>
                <w:ilvl w:val="0"/>
                <w:numId w:val="48"/>
              </w:numPr>
            </w:pPr>
            <w:r>
              <w:rPr>
                <w:rFonts w:hint="eastAsia"/>
              </w:rPr>
              <w:t>钢水温度每±10</w:t>
            </w:r>
            <w:r>
              <w:t xml:space="preserve"> </w:t>
            </w:r>
            <w:r>
              <w:rPr>
                <w:rFonts w:hint="eastAsia"/>
              </w:rPr>
              <w:t xml:space="preserve">℃，电耗相应±7 </w:t>
            </w:r>
            <w:r>
              <w:rPr>
                <w:rFonts w:hint="eastAsia" w:hAnsi="宋体"/>
              </w:rPr>
              <w:t>kW</w:t>
            </w:r>
            <w:r>
              <w:t>·</w:t>
            </w:r>
            <w:r>
              <w:rPr>
                <w:rFonts w:hint="eastAsia" w:hAnsi="宋体"/>
              </w:rPr>
              <w:t>h</w:t>
            </w:r>
            <w:r>
              <w:rPr>
                <w:rFonts w:hint="eastAsia"/>
              </w:rPr>
              <w:t>/t。</w:t>
            </w:r>
          </w:p>
          <w:p w14:paraId="5AF869B5">
            <w:pPr>
              <w:pStyle w:val="183"/>
              <w:numPr>
                <w:ilvl w:val="0"/>
                <w:numId w:val="48"/>
              </w:numPr>
            </w:pPr>
            <w:r>
              <w:rPr>
                <w:rFonts w:hint="eastAsia"/>
              </w:rPr>
              <w:t>基准温度1600℃。</w:t>
            </w:r>
          </w:p>
        </w:tc>
      </w:tr>
    </w:tbl>
    <w:p w14:paraId="12E08B5E">
      <w:pPr>
        <w:pStyle w:val="108"/>
        <w:spacing w:before="156" w:after="156"/>
      </w:pPr>
      <w:bookmarkStart w:id="533" w:name="_Toc14774"/>
      <w:bookmarkStart w:id="534" w:name="_Toc175690962"/>
      <w:bookmarkStart w:id="535" w:name="_Toc5497"/>
      <w:bookmarkStart w:id="536" w:name="_Toc483588221"/>
      <w:bookmarkStart w:id="537" w:name="_Toc483398317"/>
      <w:bookmarkStart w:id="538" w:name="_Toc496881061"/>
      <w:bookmarkStart w:id="539" w:name="_Toc175504976"/>
      <w:bookmarkStart w:id="540" w:name="_Toc30391"/>
      <w:bookmarkStart w:id="541" w:name="_Toc496771324"/>
      <w:bookmarkStart w:id="542" w:name="_Toc502760528"/>
      <w:bookmarkStart w:id="543" w:name="_Toc483578728"/>
      <w:bookmarkStart w:id="544" w:name="_Toc492372493"/>
      <w:bookmarkStart w:id="545" w:name="_Toc483588757"/>
      <w:bookmarkStart w:id="546" w:name="_Toc492372639"/>
      <w:r>
        <w:rPr>
          <w:rFonts w:hint="eastAsia"/>
        </w:rPr>
        <w:t>铝合金铸件</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4B4F3FB5">
      <w:pPr>
        <w:pStyle w:val="68"/>
        <w:spacing w:before="156" w:after="156"/>
      </w:pPr>
      <w:r>
        <w:rPr>
          <w:rFonts w:hint="eastAsia"/>
        </w:rPr>
        <w:t>适用对象</w:t>
      </w:r>
    </w:p>
    <w:p w14:paraId="3A4BE330">
      <w:pPr>
        <w:pStyle w:val="59"/>
        <w:spacing w:before="156" w:after="156"/>
        <w:ind w:firstLine="420"/>
      </w:pPr>
      <w:r>
        <w:rPr>
          <w:rFonts w:hint="eastAsia"/>
        </w:rPr>
        <w:t>适用于生产铝合金铸件产品、挤压建筑铝合金型材的企业单位产品能耗的计算、考核与评价。也适用</w:t>
      </w:r>
      <w:r>
        <w:t>于采用感应电炉、燃料炉加热熔化铝合金液工序能耗的计算、考核与评价。</w:t>
      </w:r>
    </w:p>
    <w:p w14:paraId="0C577983">
      <w:pPr>
        <w:pStyle w:val="68"/>
        <w:spacing w:before="156" w:after="156"/>
      </w:pPr>
      <w:r>
        <w:rPr>
          <w:rFonts w:hint="eastAsia"/>
        </w:rPr>
        <w:t>铝合金铸件单位产量可比综合能耗限定值和准入值</w:t>
      </w:r>
    </w:p>
    <w:p w14:paraId="12DD5E99">
      <w:pPr>
        <w:pStyle w:val="59"/>
        <w:ind w:firstLine="420"/>
      </w:pPr>
      <w:r>
        <w:rPr>
          <w:rFonts w:hint="eastAsia"/>
        </w:rPr>
        <w:t>现有企业铝合金铸件单位产量可比综合能耗限定值，新建企业、现有企业</w:t>
      </w:r>
      <w:r>
        <w:t>改扩建</w:t>
      </w:r>
      <w:r>
        <w:rPr>
          <w:rFonts w:hint="eastAsia"/>
        </w:rPr>
        <w:t>项目铝合金铸件单位产量可比综合能耗准入值应符合表27的规定。</w:t>
      </w:r>
    </w:p>
    <w:p w14:paraId="5182DC69">
      <w:pPr>
        <w:pStyle w:val="115"/>
        <w:spacing w:before="156" w:after="156"/>
      </w:pPr>
      <w:r>
        <w:rPr>
          <w:rFonts w:hint="eastAsia"/>
        </w:rPr>
        <w:t>铝合金铸件单位产量可比综合能耗限定值和准入值</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736"/>
        <w:gridCol w:w="3433"/>
        <w:gridCol w:w="3159"/>
      </w:tblGrid>
      <w:tr w14:paraId="367FFE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4" w:hRule="atLeast"/>
          <w:jc w:val="center"/>
        </w:trPr>
        <w:tc>
          <w:tcPr>
            <w:tcW w:w="2736" w:type="dxa"/>
            <w:tcBorders>
              <w:top w:val="single" w:color="auto" w:sz="8" w:space="0"/>
              <w:bottom w:val="single" w:color="auto" w:sz="8" w:space="0"/>
            </w:tcBorders>
            <w:shd w:val="clear" w:color="auto" w:fill="auto"/>
            <w:vAlign w:val="center"/>
          </w:tcPr>
          <w:p w14:paraId="244E9744">
            <w:pPr>
              <w:pStyle w:val="240"/>
              <w:jc w:val="center"/>
              <w:rPr>
                <w:rFonts w:hint="eastAsia" w:ascii="宋体" w:hAnsi="宋体"/>
                <w:sz w:val="18"/>
                <w:szCs w:val="18"/>
              </w:rPr>
            </w:pPr>
            <w:r>
              <w:rPr>
                <w:rFonts w:hint="eastAsia" w:ascii="宋体" w:hAnsi="宋体"/>
                <w:sz w:val="18"/>
                <w:szCs w:val="18"/>
              </w:rPr>
              <w:t>项目</w:t>
            </w:r>
          </w:p>
        </w:tc>
        <w:tc>
          <w:tcPr>
            <w:tcW w:w="3433" w:type="dxa"/>
            <w:tcBorders>
              <w:top w:val="single" w:color="auto" w:sz="8" w:space="0"/>
              <w:bottom w:val="single" w:color="auto" w:sz="8" w:space="0"/>
            </w:tcBorders>
            <w:shd w:val="clear" w:color="auto" w:fill="auto"/>
            <w:vAlign w:val="center"/>
          </w:tcPr>
          <w:p w14:paraId="760DCD7D">
            <w:pPr>
              <w:pStyle w:val="240"/>
              <w:jc w:val="center"/>
              <w:rPr>
                <w:rFonts w:hint="eastAsia" w:ascii="宋体" w:hAnsi="宋体"/>
                <w:sz w:val="18"/>
                <w:szCs w:val="18"/>
              </w:rPr>
            </w:pPr>
            <w:r>
              <w:rPr>
                <w:rFonts w:hint="eastAsia" w:ascii="宋体" w:hAnsi="宋体"/>
                <w:sz w:val="18"/>
                <w:szCs w:val="18"/>
              </w:rPr>
              <w:t>单位产量可比综合能耗限定值</w:t>
            </w:r>
          </w:p>
          <w:p w14:paraId="0A9120AF">
            <w:pPr>
              <w:pStyle w:val="240"/>
              <w:jc w:val="center"/>
              <w:rPr>
                <w:rFonts w:hint="eastAsia" w:ascii="宋体" w:hAnsi="宋体"/>
                <w:sz w:val="18"/>
                <w:szCs w:val="18"/>
              </w:rPr>
            </w:pPr>
            <w:r>
              <w:rPr>
                <w:rFonts w:hint="eastAsia" w:ascii="宋体" w:hAnsi="宋体"/>
                <w:sz w:val="18"/>
                <w:szCs w:val="18"/>
              </w:rPr>
              <w:t>kgce/t</w:t>
            </w:r>
          </w:p>
        </w:tc>
        <w:tc>
          <w:tcPr>
            <w:tcW w:w="3159" w:type="dxa"/>
            <w:tcBorders>
              <w:top w:val="single" w:color="auto" w:sz="8" w:space="0"/>
              <w:bottom w:val="single" w:color="auto" w:sz="8" w:space="0"/>
            </w:tcBorders>
            <w:shd w:val="clear" w:color="auto" w:fill="auto"/>
            <w:vAlign w:val="center"/>
          </w:tcPr>
          <w:p w14:paraId="7C9F9F2E">
            <w:pPr>
              <w:pStyle w:val="240"/>
              <w:jc w:val="center"/>
              <w:rPr>
                <w:rFonts w:hint="eastAsia" w:ascii="宋体" w:hAnsi="宋体"/>
                <w:sz w:val="18"/>
                <w:szCs w:val="18"/>
              </w:rPr>
            </w:pPr>
            <w:r>
              <w:rPr>
                <w:rFonts w:hint="eastAsia" w:ascii="宋体" w:hAnsi="宋体"/>
                <w:sz w:val="18"/>
                <w:szCs w:val="18"/>
              </w:rPr>
              <w:t>单位产量可比综合能耗准入值</w:t>
            </w:r>
          </w:p>
          <w:p w14:paraId="12AA9E1A">
            <w:pPr>
              <w:pStyle w:val="240"/>
              <w:jc w:val="center"/>
              <w:rPr>
                <w:rFonts w:hint="eastAsia" w:ascii="宋体" w:hAnsi="宋体"/>
                <w:sz w:val="18"/>
                <w:szCs w:val="18"/>
              </w:rPr>
            </w:pPr>
            <w:r>
              <w:rPr>
                <w:rFonts w:hint="eastAsia" w:ascii="宋体" w:hAnsi="宋体"/>
                <w:sz w:val="18"/>
                <w:szCs w:val="18"/>
              </w:rPr>
              <w:t>kgce/t</w:t>
            </w:r>
          </w:p>
        </w:tc>
      </w:tr>
      <w:tr w14:paraId="776103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736" w:type="dxa"/>
            <w:tcBorders>
              <w:top w:val="single" w:color="auto" w:sz="8" w:space="0"/>
            </w:tcBorders>
            <w:shd w:val="clear" w:color="auto" w:fill="auto"/>
            <w:vAlign w:val="center"/>
          </w:tcPr>
          <w:p w14:paraId="6757F5EC">
            <w:pPr>
              <w:pStyle w:val="240"/>
              <w:jc w:val="center"/>
              <w:rPr>
                <w:rFonts w:hint="eastAsia" w:ascii="宋体" w:hAnsi="宋体"/>
                <w:sz w:val="18"/>
                <w:szCs w:val="18"/>
              </w:rPr>
            </w:pPr>
            <w:r>
              <w:rPr>
                <w:rFonts w:hint="eastAsia" w:ascii="宋体" w:hAnsi="宋体"/>
                <w:sz w:val="18"/>
                <w:szCs w:val="18"/>
              </w:rPr>
              <w:t>铝合金铸件</w:t>
            </w:r>
          </w:p>
        </w:tc>
        <w:tc>
          <w:tcPr>
            <w:tcW w:w="3433" w:type="dxa"/>
            <w:tcBorders>
              <w:top w:val="single" w:color="auto" w:sz="8" w:space="0"/>
            </w:tcBorders>
            <w:shd w:val="clear" w:color="auto" w:fill="auto"/>
            <w:vAlign w:val="center"/>
          </w:tcPr>
          <w:p w14:paraId="3482489C">
            <w:pPr>
              <w:pStyle w:val="240"/>
              <w:jc w:val="center"/>
              <w:rPr>
                <w:rFonts w:hint="eastAsia" w:ascii="宋体" w:hAnsi="宋体"/>
                <w:sz w:val="18"/>
                <w:szCs w:val="18"/>
              </w:rPr>
            </w:pPr>
            <w:r>
              <w:rPr>
                <w:rFonts w:hint="eastAsia" w:ascii="宋体" w:hAnsi="宋体"/>
                <w:sz w:val="18"/>
                <w:szCs w:val="18"/>
              </w:rPr>
              <w:t>≤500</w:t>
            </w:r>
          </w:p>
        </w:tc>
        <w:tc>
          <w:tcPr>
            <w:tcW w:w="3159" w:type="dxa"/>
            <w:tcBorders>
              <w:top w:val="single" w:color="auto" w:sz="8" w:space="0"/>
            </w:tcBorders>
            <w:shd w:val="clear" w:color="auto" w:fill="auto"/>
            <w:vAlign w:val="center"/>
          </w:tcPr>
          <w:p w14:paraId="05285567">
            <w:pPr>
              <w:pStyle w:val="240"/>
              <w:jc w:val="center"/>
              <w:rPr>
                <w:rFonts w:hint="eastAsia" w:ascii="宋体" w:hAnsi="宋体"/>
                <w:sz w:val="18"/>
                <w:szCs w:val="18"/>
              </w:rPr>
            </w:pPr>
            <w:r>
              <w:rPr>
                <w:rFonts w:hint="eastAsia" w:ascii="宋体" w:hAnsi="宋体"/>
                <w:sz w:val="18"/>
                <w:szCs w:val="18"/>
              </w:rPr>
              <w:t>≤450</w:t>
            </w:r>
          </w:p>
        </w:tc>
      </w:tr>
      <w:tr w14:paraId="11BBAC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28" w:type="dxa"/>
            <w:gridSpan w:val="3"/>
            <w:shd w:val="clear" w:color="auto" w:fill="auto"/>
            <w:vAlign w:val="center"/>
          </w:tcPr>
          <w:p w14:paraId="5FDF39DD">
            <w:pPr>
              <w:pStyle w:val="182"/>
              <w:rPr>
                <w:rFonts w:hint="eastAsia" w:hAnsi="宋体"/>
              </w:rPr>
            </w:pPr>
            <w:r>
              <w:rPr>
                <w:rFonts w:hint="eastAsia"/>
              </w:rPr>
              <w:t>新水折标准煤系数采用0.0857</w:t>
            </w:r>
            <w:r>
              <w:t xml:space="preserve"> </w:t>
            </w:r>
            <w:r>
              <w:rPr>
                <w:rFonts w:hint="eastAsia"/>
              </w:rPr>
              <w:t>kgce/t</w:t>
            </w:r>
            <w:r>
              <w:rPr>
                <w:rFonts w:hint="eastAsia"/>
                <w:spacing w:val="20"/>
              </w:rPr>
              <w:t>。</w:t>
            </w:r>
          </w:p>
        </w:tc>
      </w:tr>
    </w:tbl>
    <w:p w14:paraId="67E1F6D0">
      <w:pPr>
        <w:pStyle w:val="68"/>
        <w:spacing w:before="156" w:after="156"/>
        <w:rPr>
          <w:rFonts w:hint="eastAsia" w:hAnsi="黑体" w:cs="宋体"/>
        </w:rPr>
      </w:pPr>
      <w:r>
        <w:rPr>
          <w:rFonts w:hint="eastAsia"/>
        </w:rPr>
        <w:t>感应电炉、电阻炉吨金属液综合电耗和燃气铝合金熔化炉吨金属液综合能耗限定值和准入值</w:t>
      </w:r>
    </w:p>
    <w:p w14:paraId="62C6736F">
      <w:pPr>
        <w:pStyle w:val="59"/>
        <w:ind w:firstLine="420"/>
      </w:pPr>
      <w:r>
        <w:rPr>
          <w:rFonts w:hint="eastAsia"/>
        </w:rPr>
        <w:t>现有企业感应电炉、电阻炉吨金属液综合电耗和燃气铝合金熔化炉吨金属液综合能耗限定值，新建企业、现有企业</w:t>
      </w:r>
      <w:r>
        <w:t>改扩建</w:t>
      </w:r>
      <w:r>
        <w:rPr>
          <w:rFonts w:hint="eastAsia"/>
        </w:rPr>
        <w:t>项目感应电炉、电阻炉吨金属液综合电耗和燃气铝合金熔化炉吨金属液综合能耗准入值应符合表28的规定。</w:t>
      </w:r>
    </w:p>
    <w:p w14:paraId="72475C69">
      <w:pPr>
        <w:pStyle w:val="59"/>
        <w:ind w:firstLine="420"/>
      </w:pPr>
    </w:p>
    <w:p w14:paraId="36B12859">
      <w:pPr>
        <w:pStyle w:val="59"/>
        <w:ind w:firstLine="420"/>
      </w:pPr>
    </w:p>
    <w:p w14:paraId="4565B014">
      <w:pPr>
        <w:pStyle w:val="59"/>
        <w:ind w:firstLine="420"/>
      </w:pPr>
    </w:p>
    <w:p w14:paraId="6920CF9F">
      <w:pPr>
        <w:pStyle w:val="59"/>
        <w:ind w:firstLine="420"/>
      </w:pPr>
    </w:p>
    <w:p w14:paraId="2AC9F73B">
      <w:pPr>
        <w:pStyle w:val="59"/>
        <w:ind w:firstLine="420"/>
      </w:pPr>
    </w:p>
    <w:p w14:paraId="211E5E90">
      <w:pPr>
        <w:pStyle w:val="59"/>
        <w:ind w:firstLine="420"/>
      </w:pPr>
    </w:p>
    <w:p w14:paraId="251E82C5">
      <w:pPr>
        <w:pStyle w:val="59"/>
        <w:ind w:firstLine="420"/>
      </w:pPr>
    </w:p>
    <w:p w14:paraId="1E8B8BD9">
      <w:pPr>
        <w:pStyle w:val="59"/>
        <w:ind w:firstLine="420"/>
      </w:pPr>
    </w:p>
    <w:p w14:paraId="6A80B3DC">
      <w:pPr>
        <w:pStyle w:val="115"/>
        <w:spacing w:before="156" w:after="156"/>
        <w:rPr>
          <w:rFonts w:hint="eastAsia" w:hAnsi="黑体"/>
          <w:szCs w:val="21"/>
        </w:rPr>
      </w:pPr>
      <w:r>
        <w:rPr>
          <w:rFonts w:hint="eastAsia"/>
        </w:rPr>
        <w:t>感应电炉、电阻炉吨金属液综合电耗和燃气铝合金熔化炉吨金属液综合能耗限定值和准入值</w:t>
      </w:r>
    </w:p>
    <w:tbl>
      <w:tblPr>
        <w:tblStyle w:val="28"/>
        <w:tblW w:w="93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7"/>
        <w:gridCol w:w="1845"/>
        <w:gridCol w:w="1153"/>
        <w:gridCol w:w="1154"/>
        <w:gridCol w:w="1063"/>
        <w:gridCol w:w="1063"/>
        <w:gridCol w:w="1293"/>
        <w:gridCol w:w="1294"/>
      </w:tblGrid>
      <w:tr w14:paraId="217B6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322" w:type="dxa"/>
            <w:gridSpan w:val="2"/>
            <w:vMerge w:val="restart"/>
            <w:vAlign w:val="center"/>
          </w:tcPr>
          <w:p w14:paraId="6680E951">
            <w:pPr>
              <w:snapToGrid w:val="0"/>
              <w:spacing w:line="240" w:lineRule="auto"/>
              <w:jc w:val="center"/>
              <w:rPr>
                <w:rFonts w:hint="eastAsia" w:ascii="宋体" w:hAnsi="宋体"/>
                <w:sz w:val="18"/>
                <w:szCs w:val="18"/>
              </w:rPr>
            </w:pPr>
            <w:r>
              <w:rPr>
                <w:rFonts w:hint="eastAsia" w:ascii="宋体" w:hAnsi="宋体"/>
                <w:sz w:val="18"/>
                <w:szCs w:val="18"/>
              </w:rPr>
              <w:t>分类</w:t>
            </w:r>
          </w:p>
        </w:tc>
        <w:tc>
          <w:tcPr>
            <w:tcW w:w="2307" w:type="dxa"/>
            <w:gridSpan w:val="2"/>
            <w:vAlign w:val="center"/>
          </w:tcPr>
          <w:p w14:paraId="7A83C5ED">
            <w:pPr>
              <w:snapToGrid w:val="0"/>
              <w:spacing w:line="240" w:lineRule="auto"/>
              <w:jc w:val="center"/>
              <w:rPr>
                <w:rFonts w:hint="eastAsia" w:ascii="宋体" w:hAnsi="宋体"/>
                <w:sz w:val="18"/>
                <w:szCs w:val="18"/>
              </w:rPr>
            </w:pPr>
            <w:r>
              <w:rPr>
                <w:rFonts w:hint="eastAsia" w:ascii="宋体" w:hAnsi="宋体"/>
                <w:sz w:val="18"/>
                <w:szCs w:val="18"/>
              </w:rPr>
              <w:t>感应电炉吨金属液综合电耗（kW</w:t>
            </w:r>
            <w:r>
              <w:rPr>
                <w:rFonts w:hint="default" w:ascii="Times New Roman" w:hAnsi="Times New Roman" w:cs="Times New Roman"/>
                <w:sz w:val="18"/>
                <w:szCs w:val="18"/>
              </w:rPr>
              <w:t>·</w:t>
            </w:r>
            <w:r>
              <w:rPr>
                <w:rFonts w:hint="eastAsia" w:ascii="宋体" w:hAnsi="宋体"/>
                <w:sz w:val="18"/>
                <w:szCs w:val="18"/>
              </w:rPr>
              <w:t>h/t）</w:t>
            </w:r>
          </w:p>
        </w:tc>
        <w:tc>
          <w:tcPr>
            <w:tcW w:w="2126" w:type="dxa"/>
            <w:gridSpan w:val="2"/>
            <w:vAlign w:val="center"/>
          </w:tcPr>
          <w:p w14:paraId="2C4D1ED1">
            <w:pPr>
              <w:snapToGrid w:val="0"/>
              <w:spacing w:line="240" w:lineRule="auto"/>
              <w:jc w:val="center"/>
              <w:rPr>
                <w:rFonts w:hint="eastAsia" w:ascii="宋体" w:hAnsi="宋体"/>
                <w:sz w:val="18"/>
                <w:szCs w:val="18"/>
              </w:rPr>
            </w:pPr>
            <w:r>
              <w:rPr>
                <w:rFonts w:hint="eastAsia" w:ascii="宋体" w:hAnsi="宋体"/>
                <w:sz w:val="18"/>
                <w:szCs w:val="18"/>
              </w:rPr>
              <w:t>电阻炉吨金属液综合电耗（kW</w:t>
            </w:r>
            <w:r>
              <w:rPr>
                <w:rFonts w:hint="default" w:ascii="Times New Roman" w:hAnsi="Times New Roman" w:cs="Times New Roman"/>
                <w:sz w:val="18"/>
                <w:szCs w:val="18"/>
              </w:rPr>
              <w:t>·</w:t>
            </w:r>
            <w:r>
              <w:rPr>
                <w:rFonts w:hint="eastAsia" w:ascii="宋体" w:hAnsi="宋体"/>
                <w:sz w:val="18"/>
                <w:szCs w:val="18"/>
              </w:rPr>
              <w:t>h/t）</w:t>
            </w:r>
          </w:p>
        </w:tc>
        <w:tc>
          <w:tcPr>
            <w:tcW w:w="2587" w:type="dxa"/>
            <w:gridSpan w:val="2"/>
            <w:vAlign w:val="center"/>
          </w:tcPr>
          <w:p w14:paraId="25A40C5F">
            <w:pPr>
              <w:snapToGrid w:val="0"/>
              <w:spacing w:line="240" w:lineRule="auto"/>
              <w:jc w:val="center"/>
              <w:rPr>
                <w:rFonts w:hint="eastAsia" w:ascii="宋体" w:hAnsi="宋体"/>
                <w:sz w:val="18"/>
                <w:szCs w:val="18"/>
              </w:rPr>
            </w:pPr>
            <w:r>
              <w:rPr>
                <w:rFonts w:hint="eastAsia" w:ascii="宋体" w:hAnsi="宋体"/>
                <w:sz w:val="18"/>
                <w:szCs w:val="18"/>
              </w:rPr>
              <w:t>燃气铝合金熔化炉                  吨金属液综合能耗（kgce/t）</w:t>
            </w:r>
          </w:p>
        </w:tc>
      </w:tr>
      <w:tr w14:paraId="25003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322" w:type="dxa"/>
            <w:gridSpan w:val="2"/>
            <w:vMerge w:val="continue"/>
            <w:vAlign w:val="center"/>
          </w:tcPr>
          <w:p w14:paraId="16326BA4">
            <w:pPr>
              <w:snapToGrid w:val="0"/>
              <w:spacing w:line="240" w:lineRule="auto"/>
              <w:jc w:val="center"/>
              <w:rPr>
                <w:rFonts w:hint="eastAsia" w:ascii="宋体" w:hAnsi="宋体"/>
                <w:sz w:val="18"/>
                <w:szCs w:val="18"/>
              </w:rPr>
            </w:pPr>
          </w:p>
        </w:tc>
        <w:tc>
          <w:tcPr>
            <w:tcW w:w="1153" w:type="dxa"/>
            <w:vAlign w:val="center"/>
          </w:tcPr>
          <w:p w14:paraId="275825D5">
            <w:pPr>
              <w:snapToGrid w:val="0"/>
              <w:spacing w:line="240" w:lineRule="auto"/>
              <w:jc w:val="center"/>
              <w:rPr>
                <w:rFonts w:hint="eastAsia" w:ascii="宋体" w:hAnsi="宋体"/>
                <w:sz w:val="18"/>
                <w:szCs w:val="18"/>
              </w:rPr>
            </w:pPr>
            <w:r>
              <w:rPr>
                <w:rFonts w:hint="eastAsia" w:ascii="宋体" w:hAnsi="宋体"/>
                <w:sz w:val="18"/>
                <w:szCs w:val="18"/>
              </w:rPr>
              <w:t>限定值</w:t>
            </w:r>
          </w:p>
        </w:tc>
        <w:tc>
          <w:tcPr>
            <w:tcW w:w="1154" w:type="dxa"/>
            <w:vAlign w:val="center"/>
          </w:tcPr>
          <w:p w14:paraId="7BB01924">
            <w:pPr>
              <w:snapToGrid w:val="0"/>
              <w:spacing w:line="240" w:lineRule="auto"/>
              <w:jc w:val="center"/>
              <w:rPr>
                <w:rFonts w:hint="eastAsia" w:ascii="宋体" w:hAnsi="宋体"/>
                <w:sz w:val="18"/>
                <w:szCs w:val="18"/>
              </w:rPr>
            </w:pPr>
            <w:r>
              <w:rPr>
                <w:rFonts w:hint="eastAsia" w:ascii="宋体" w:hAnsi="宋体"/>
                <w:sz w:val="18"/>
                <w:szCs w:val="18"/>
              </w:rPr>
              <w:t>准入值</w:t>
            </w:r>
          </w:p>
        </w:tc>
        <w:tc>
          <w:tcPr>
            <w:tcW w:w="1063" w:type="dxa"/>
            <w:vAlign w:val="center"/>
          </w:tcPr>
          <w:p w14:paraId="2DC18632">
            <w:pPr>
              <w:snapToGrid w:val="0"/>
              <w:spacing w:line="240" w:lineRule="auto"/>
              <w:jc w:val="center"/>
              <w:rPr>
                <w:rFonts w:hint="eastAsia" w:ascii="宋体" w:hAnsi="宋体"/>
                <w:sz w:val="18"/>
                <w:szCs w:val="18"/>
              </w:rPr>
            </w:pPr>
            <w:r>
              <w:rPr>
                <w:rFonts w:hint="eastAsia" w:ascii="宋体" w:hAnsi="宋体"/>
                <w:sz w:val="18"/>
                <w:szCs w:val="18"/>
              </w:rPr>
              <w:t>限定值</w:t>
            </w:r>
          </w:p>
        </w:tc>
        <w:tc>
          <w:tcPr>
            <w:tcW w:w="1063" w:type="dxa"/>
            <w:vAlign w:val="center"/>
          </w:tcPr>
          <w:p w14:paraId="7445F96A">
            <w:pPr>
              <w:snapToGrid w:val="0"/>
              <w:spacing w:line="240" w:lineRule="auto"/>
              <w:jc w:val="center"/>
              <w:rPr>
                <w:rFonts w:hint="eastAsia" w:ascii="宋体" w:hAnsi="宋体"/>
                <w:sz w:val="18"/>
                <w:szCs w:val="18"/>
              </w:rPr>
            </w:pPr>
            <w:r>
              <w:rPr>
                <w:rFonts w:hint="eastAsia" w:ascii="宋体" w:hAnsi="宋体"/>
                <w:sz w:val="18"/>
                <w:szCs w:val="18"/>
              </w:rPr>
              <w:t>准入值</w:t>
            </w:r>
          </w:p>
        </w:tc>
        <w:tc>
          <w:tcPr>
            <w:tcW w:w="1293" w:type="dxa"/>
            <w:vAlign w:val="center"/>
          </w:tcPr>
          <w:p w14:paraId="3B7E3BC3">
            <w:pPr>
              <w:snapToGrid w:val="0"/>
              <w:spacing w:line="240" w:lineRule="auto"/>
              <w:jc w:val="center"/>
              <w:rPr>
                <w:rFonts w:hint="eastAsia" w:ascii="宋体" w:hAnsi="宋体"/>
                <w:sz w:val="18"/>
                <w:szCs w:val="18"/>
              </w:rPr>
            </w:pPr>
            <w:r>
              <w:rPr>
                <w:rFonts w:hint="eastAsia" w:ascii="宋体" w:hAnsi="宋体"/>
                <w:sz w:val="18"/>
                <w:szCs w:val="18"/>
              </w:rPr>
              <w:t>限定值</w:t>
            </w:r>
          </w:p>
        </w:tc>
        <w:tc>
          <w:tcPr>
            <w:tcW w:w="1294" w:type="dxa"/>
            <w:vAlign w:val="center"/>
          </w:tcPr>
          <w:p w14:paraId="74C7832D">
            <w:pPr>
              <w:snapToGrid w:val="0"/>
              <w:spacing w:line="240" w:lineRule="auto"/>
              <w:jc w:val="center"/>
              <w:rPr>
                <w:rFonts w:hint="eastAsia" w:ascii="宋体" w:hAnsi="宋体"/>
                <w:sz w:val="18"/>
                <w:szCs w:val="18"/>
              </w:rPr>
            </w:pPr>
            <w:r>
              <w:rPr>
                <w:rFonts w:hint="eastAsia" w:ascii="宋体" w:hAnsi="宋体"/>
                <w:sz w:val="18"/>
                <w:szCs w:val="18"/>
              </w:rPr>
              <w:t>准入值</w:t>
            </w:r>
          </w:p>
        </w:tc>
      </w:tr>
      <w:tr w14:paraId="39DA7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7" w:type="dxa"/>
            <w:vMerge w:val="restart"/>
            <w:vAlign w:val="center"/>
          </w:tcPr>
          <w:p w14:paraId="15891A75">
            <w:pPr>
              <w:snapToGrid w:val="0"/>
              <w:jc w:val="center"/>
              <w:rPr>
                <w:rFonts w:hint="eastAsia" w:ascii="宋体" w:hAnsi="宋体"/>
                <w:sz w:val="18"/>
                <w:szCs w:val="18"/>
              </w:rPr>
            </w:pPr>
            <w:r>
              <w:rPr>
                <w:rFonts w:hint="eastAsia" w:ascii="宋体" w:hAnsi="宋体"/>
                <w:sz w:val="18"/>
                <w:szCs w:val="18"/>
              </w:rPr>
              <w:t>感应电炉</w:t>
            </w:r>
          </w:p>
        </w:tc>
        <w:tc>
          <w:tcPr>
            <w:tcW w:w="1845" w:type="dxa"/>
            <w:vAlign w:val="center"/>
          </w:tcPr>
          <w:p w14:paraId="47C8B7CC">
            <w:pPr>
              <w:snapToGrid w:val="0"/>
              <w:jc w:val="center"/>
              <w:rPr>
                <w:rFonts w:hint="eastAsia" w:ascii="宋体" w:hAnsi="宋体"/>
                <w:sz w:val="18"/>
                <w:szCs w:val="18"/>
              </w:rPr>
            </w:pPr>
            <w:r>
              <w:rPr>
                <w:rFonts w:hint="eastAsia" w:ascii="宋体" w:hAnsi="宋体"/>
                <w:i/>
                <w:iCs/>
                <w:sz w:val="18"/>
                <w:szCs w:val="18"/>
              </w:rPr>
              <w:t>a</w:t>
            </w:r>
            <w:r>
              <w:rPr>
                <w:rFonts w:hint="eastAsia" w:ascii="宋体" w:hAnsi="宋体"/>
                <w:sz w:val="18"/>
                <w:szCs w:val="18"/>
              </w:rPr>
              <w:t>≤0.15 t</w:t>
            </w:r>
          </w:p>
        </w:tc>
        <w:tc>
          <w:tcPr>
            <w:tcW w:w="1153" w:type="dxa"/>
            <w:vAlign w:val="center"/>
          </w:tcPr>
          <w:p w14:paraId="7A3FD6E9">
            <w:pPr>
              <w:snapToGrid w:val="0"/>
              <w:jc w:val="center"/>
              <w:rPr>
                <w:rFonts w:hint="eastAsia" w:ascii="宋体" w:hAnsi="宋体" w:cs="宋体"/>
                <w:sz w:val="18"/>
                <w:szCs w:val="18"/>
              </w:rPr>
            </w:pPr>
            <w:r>
              <w:rPr>
                <w:rFonts w:hint="eastAsia" w:ascii="宋体" w:hAnsi="宋体"/>
                <w:sz w:val="18"/>
                <w:szCs w:val="18"/>
              </w:rPr>
              <w:t>≤ 700</w:t>
            </w:r>
          </w:p>
        </w:tc>
        <w:tc>
          <w:tcPr>
            <w:tcW w:w="1154" w:type="dxa"/>
            <w:vAlign w:val="bottom"/>
          </w:tcPr>
          <w:p w14:paraId="7E24A59F">
            <w:pPr>
              <w:snapToGrid w:val="0"/>
              <w:jc w:val="center"/>
              <w:rPr>
                <w:rFonts w:hint="eastAsia" w:ascii="宋体" w:hAnsi="宋体"/>
                <w:sz w:val="18"/>
                <w:szCs w:val="18"/>
              </w:rPr>
            </w:pPr>
            <w:r>
              <w:rPr>
                <w:rFonts w:hint="eastAsia" w:ascii="宋体" w:hAnsi="宋体"/>
                <w:sz w:val="18"/>
                <w:szCs w:val="18"/>
              </w:rPr>
              <w:t>≤ 698</w:t>
            </w:r>
          </w:p>
        </w:tc>
        <w:tc>
          <w:tcPr>
            <w:tcW w:w="2126" w:type="dxa"/>
            <w:gridSpan w:val="2"/>
          </w:tcPr>
          <w:p w14:paraId="5EF2C410">
            <w:pPr>
              <w:snapToGrid w:val="0"/>
              <w:jc w:val="center"/>
              <w:rPr>
                <w:rFonts w:hint="eastAsia" w:ascii="宋体" w:hAnsi="宋体"/>
                <w:sz w:val="18"/>
                <w:szCs w:val="18"/>
              </w:rPr>
            </w:pPr>
            <w:r>
              <w:rPr>
                <w:rFonts w:hint="eastAsia" w:ascii="宋体" w:hAnsi="宋体"/>
                <w:sz w:val="18"/>
                <w:szCs w:val="18"/>
              </w:rPr>
              <w:t>-</w:t>
            </w:r>
          </w:p>
        </w:tc>
        <w:tc>
          <w:tcPr>
            <w:tcW w:w="2587" w:type="dxa"/>
            <w:gridSpan w:val="2"/>
            <w:vAlign w:val="center"/>
          </w:tcPr>
          <w:p w14:paraId="22588B08">
            <w:pPr>
              <w:snapToGrid w:val="0"/>
              <w:jc w:val="center"/>
              <w:rPr>
                <w:rFonts w:hint="eastAsia" w:ascii="宋体" w:hAnsi="宋体"/>
                <w:sz w:val="18"/>
                <w:szCs w:val="18"/>
              </w:rPr>
            </w:pPr>
            <w:r>
              <w:rPr>
                <w:rFonts w:hint="eastAsia" w:ascii="宋体" w:hAnsi="宋体"/>
                <w:sz w:val="18"/>
                <w:szCs w:val="18"/>
              </w:rPr>
              <w:t>-</w:t>
            </w:r>
          </w:p>
        </w:tc>
      </w:tr>
      <w:tr w14:paraId="48877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7" w:type="dxa"/>
            <w:vMerge w:val="continue"/>
            <w:vAlign w:val="center"/>
          </w:tcPr>
          <w:p w14:paraId="0D13B3E3">
            <w:pPr>
              <w:snapToGrid w:val="0"/>
              <w:jc w:val="center"/>
              <w:rPr>
                <w:rFonts w:hint="eastAsia" w:ascii="宋体" w:hAnsi="宋体"/>
                <w:sz w:val="18"/>
                <w:szCs w:val="18"/>
              </w:rPr>
            </w:pPr>
          </w:p>
        </w:tc>
        <w:tc>
          <w:tcPr>
            <w:tcW w:w="1845" w:type="dxa"/>
            <w:vAlign w:val="center"/>
          </w:tcPr>
          <w:p w14:paraId="47E8B520">
            <w:pPr>
              <w:snapToGrid w:val="0"/>
              <w:jc w:val="center"/>
              <w:rPr>
                <w:rFonts w:hint="eastAsia" w:ascii="宋体" w:hAnsi="宋体"/>
                <w:sz w:val="18"/>
                <w:szCs w:val="18"/>
              </w:rPr>
            </w:pPr>
            <w:r>
              <w:rPr>
                <w:rFonts w:hint="eastAsia" w:ascii="宋体" w:hAnsi="宋体"/>
                <w:sz w:val="18"/>
                <w:szCs w:val="18"/>
              </w:rPr>
              <w:t xml:space="preserve">0.3 t  </w:t>
            </w:r>
          </w:p>
        </w:tc>
        <w:tc>
          <w:tcPr>
            <w:tcW w:w="1153" w:type="dxa"/>
            <w:vAlign w:val="center"/>
          </w:tcPr>
          <w:p w14:paraId="4579662A">
            <w:pPr>
              <w:snapToGrid w:val="0"/>
              <w:jc w:val="center"/>
              <w:rPr>
                <w:rFonts w:hint="eastAsia" w:ascii="宋体" w:hAnsi="宋体" w:cs="宋体"/>
                <w:sz w:val="18"/>
                <w:szCs w:val="18"/>
              </w:rPr>
            </w:pPr>
            <w:r>
              <w:rPr>
                <w:rFonts w:hint="eastAsia" w:ascii="宋体" w:hAnsi="宋体"/>
                <w:sz w:val="18"/>
                <w:szCs w:val="18"/>
              </w:rPr>
              <w:t>≤ 680</w:t>
            </w:r>
          </w:p>
        </w:tc>
        <w:tc>
          <w:tcPr>
            <w:tcW w:w="1154" w:type="dxa"/>
            <w:vAlign w:val="bottom"/>
          </w:tcPr>
          <w:p w14:paraId="5D51356B">
            <w:pPr>
              <w:snapToGrid w:val="0"/>
              <w:jc w:val="center"/>
              <w:rPr>
                <w:rFonts w:hint="eastAsia" w:ascii="宋体" w:hAnsi="宋体"/>
                <w:sz w:val="18"/>
                <w:szCs w:val="18"/>
              </w:rPr>
            </w:pPr>
            <w:r>
              <w:rPr>
                <w:rFonts w:hint="eastAsia" w:ascii="宋体" w:hAnsi="宋体"/>
                <w:sz w:val="18"/>
                <w:szCs w:val="18"/>
              </w:rPr>
              <w:t>≤ 670</w:t>
            </w:r>
          </w:p>
        </w:tc>
        <w:tc>
          <w:tcPr>
            <w:tcW w:w="2126" w:type="dxa"/>
            <w:gridSpan w:val="2"/>
          </w:tcPr>
          <w:p w14:paraId="0F7B33C0">
            <w:pPr>
              <w:snapToGrid w:val="0"/>
              <w:jc w:val="center"/>
              <w:rPr>
                <w:rFonts w:hint="eastAsia" w:ascii="宋体" w:hAnsi="宋体"/>
                <w:sz w:val="18"/>
                <w:szCs w:val="18"/>
              </w:rPr>
            </w:pPr>
            <w:r>
              <w:rPr>
                <w:rFonts w:hint="eastAsia" w:ascii="宋体" w:hAnsi="宋体"/>
                <w:sz w:val="18"/>
                <w:szCs w:val="18"/>
              </w:rPr>
              <w:t>-</w:t>
            </w:r>
          </w:p>
        </w:tc>
        <w:tc>
          <w:tcPr>
            <w:tcW w:w="2587" w:type="dxa"/>
            <w:gridSpan w:val="2"/>
            <w:vAlign w:val="center"/>
          </w:tcPr>
          <w:p w14:paraId="047CF31E">
            <w:pPr>
              <w:snapToGrid w:val="0"/>
              <w:jc w:val="center"/>
              <w:rPr>
                <w:rFonts w:hint="eastAsia" w:ascii="宋体" w:hAnsi="宋体"/>
                <w:sz w:val="18"/>
                <w:szCs w:val="18"/>
              </w:rPr>
            </w:pPr>
            <w:r>
              <w:rPr>
                <w:rFonts w:hint="eastAsia" w:ascii="宋体" w:hAnsi="宋体"/>
                <w:sz w:val="18"/>
                <w:szCs w:val="18"/>
              </w:rPr>
              <w:t>-</w:t>
            </w:r>
          </w:p>
        </w:tc>
      </w:tr>
      <w:tr w14:paraId="2B81C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7" w:type="dxa"/>
            <w:vMerge w:val="continue"/>
            <w:vAlign w:val="center"/>
          </w:tcPr>
          <w:p w14:paraId="1048298D">
            <w:pPr>
              <w:snapToGrid w:val="0"/>
              <w:jc w:val="center"/>
              <w:rPr>
                <w:rFonts w:hint="eastAsia" w:ascii="宋体" w:hAnsi="宋体"/>
                <w:sz w:val="18"/>
                <w:szCs w:val="18"/>
              </w:rPr>
            </w:pPr>
          </w:p>
        </w:tc>
        <w:tc>
          <w:tcPr>
            <w:tcW w:w="1845" w:type="dxa"/>
            <w:vAlign w:val="center"/>
          </w:tcPr>
          <w:p w14:paraId="3B6EB940">
            <w:pPr>
              <w:snapToGrid w:val="0"/>
              <w:jc w:val="center"/>
              <w:rPr>
                <w:rFonts w:hint="eastAsia" w:ascii="宋体" w:hAnsi="宋体"/>
                <w:sz w:val="18"/>
                <w:szCs w:val="18"/>
              </w:rPr>
            </w:pPr>
            <w:r>
              <w:rPr>
                <w:rFonts w:hint="eastAsia" w:ascii="宋体" w:hAnsi="宋体"/>
                <w:iCs/>
                <w:sz w:val="18"/>
                <w:szCs w:val="18"/>
              </w:rPr>
              <w:t>0.5</w:t>
            </w:r>
            <w:r>
              <w:rPr>
                <w:rFonts w:hint="eastAsia" w:ascii="宋体" w:hAnsi="宋体"/>
                <w:sz w:val="18"/>
                <w:szCs w:val="18"/>
              </w:rPr>
              <w:t xml:space="preserve"> t </w:t>
            </w:r>
          </w:p>
        </w:tc>
        <w:tc>
          <w:tcPr>
            <w:tcW w:w="1153" w:type="dxa"/>
            <w:vAlign w:val="center"/>
          </w:tcPr>
          <w:p w14:paraId="21C59A7A">
            <w:pPr>
              <w:snapToGrid w:val="0"/>
              <w:jc w:val="center"/>
              <w:rPr>
                <w:rFonts w:hint="eastAsia" w:ascii="宋体" w:hAnsi="宋体" w:cs="宋体"/>
                <w:sz w:val="18"/>
                <w:szCs w:val="18"/>
              </w:rPr>
            </w:pPr>
            <w:r>
              <w:rPr>
                <w:rFonts w:hint="eastAsia" w:ascii="宋体" w:hAnsi="宋体"/>
                <w:sz w:val="18"/>
                <w:szCs w:val="18"/>
              </w:rPr>
              <w:t>≤ 660</w:t>
            </w:r>
          </w:p>
        </w:tc>
        <w:tc>
          <w:tcPr>
            <w:tcW w:w="1154" w:type="dxa"/>
            <w:vAlign w:val="bottom"/>
          </w:tcPr>
          <w:p w14:paraId="34C40613">
            <w:pPr>
              <w:snapToGrid w:val="0"/>
              <w:jc w:val="center"/>
              <w:rPr>
                <w:rFonts w:hint="eastAsia" w:ascii="宋体" w:hAnsi="宋体"/>
                <w:sz w:val="18"/>
                <w:szCs w:val="18"/>
              </w:rPr>
            </w:pPr>
            <w:r>
              <w:rPr>
                <w:rFonts w:hint="eastAsia" w:ascii="宋体" w:hAnsi="宋体"/>
                <w:sz w:val="18"/>
                <w:szCs w:val="18"/>
              </w:rPr>
              <w:t>≤ 650</w:t>
            </w:r>
          </w:p>
        </w:tc>
        <w:tc>
          <w:tcPr>
            <w:tcW w:w="2126" w:type="dxa"/>
            <w:gridSpan w:val="2"/>
          </w:tcPr>
          <w:p w14:paraId="5F29D2E1">
            <w:pPr>
              <w:snapToGrid w:val="0"/>
              <w:jc w:val="center"/>
              <w:rPr>
                <w:rFonts w:hint="eastAsia" w:ascii="宋体" w:hAnsi="宋体"/>
                <w:sz w:val="18"/>
                <w:szCs w:val="18"/>
              </w:rPr>
            </w:pPr>
            <w:r>
              <w:rPr>
                <w:rFonts w:hint="eastAsia" w:ascii="宋体" w:hAnsi="宋体"/>
                <w:sz w:val="18"/>
                <w:szCs w:val="18"/>
              </w:rPr>
              <w:t>-</w:t>
            </w:r>
          </w:p>
        </w:tc>
        <w:tc>
          <w:tcPr>
            <w:tcW w:w="2587" w:type="dxa"/>
            <w:gridSpan w:val="2"/>
            <w:vAlign w:val="center"/>
          </w:tcPr>
          <w:p w14:paraId="628BE29E">
            <w:pPr>
              <w:snapToGrid w:val="0"/>
              <w:jc w:val="center"/>
              <w:rPr>
                <w:rFonts w:hint="eastAsia" w:ascii="宋体" w:hAnsi="宋体"/>
                <w:sz w:val="18"/>
                <w:szCs w:val="18"/>
              </w:rPr>
            </w:pPr>
            <w:r>
              <w:rPr>
                <w:rFonts w:hint="eastAsia" w:ascii="宋体" w:hAnsi="宋体"/>
                <w:sz w:val="18"/>
                <w:szCs w:val="18"/>
              </w:rPr>
              <w:t>-</w:t>
            </w:r>
          </w:p>
        </w:tc>
      </w:tr>
      <w:tr w14:paraId="1DD51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7" w:type="dxa"/>
            <w:vMerge w:val="continue"/>
            <w:vAlign w:val="center"/>
          </w:tcPr>
          <w:p w14:paraId="2C0719CD">
            <w:pPr>
              <w:snapToGrid w:val="0"/>
              <w:jc w:val="center"/>
              <w:rPr>
                <w:rFonts w:hint="eastAsia" w:ascii="宋体" w:hAnsi="宋体"/>
                <w:iCs/>
                <w:sz w:val="18"/>
                <w:szCs w:val="18"/>
              </w:rPr>
            </w:pPr>
          </w:p>
        </w:tc>
        <w:tc>
          <w:tcPr>
            <w:tcW w:w="1845" w:type="dxa"/>
            <w:vAlign w:val="center"/>
          </w:tcPr>
          <w:p w14:paraId="2775988D">
            <w:pPr>
              <w:snapToGrid w:val="0"/>
              <w:jc w:val="center"/>
              <w:rPr>
                <w:rFonts w:hint="eastAsia" w:ascii="宋体" w:hAnsi="宋体"/>
                <w:iCs/>
                <w:sz w:val="18"/>
                <w:szCs w:val="18"/>
              </w:rPr>
            </w:pPr>
            <w:r>
              <w:rPr>
                <w:rFonts w:hint="eastAsia" w:ascii="宋体" w:hAnsi="宋体"/>
                <w:iCs/>
                <w:sz w:val="18"/>
                <w:szCs w:val="18"/>
              </w:rPr>
              <w:t>1.0</w:t>
            </w:r>
            <w:r>
              <w:rPr>
                <w:rFonts w:hint="eastAsia" w:ascii="宋体" w:hAnsi="宋体"/>
                <w:sz w:val="18"/>
                <w:szCs w:val="18"/>
              </w:rPr>
              <w:t xml:space="preserve"> t</w:t>
            </w:r>
          </w:p>
        </w:tc>
        <w:tc>
          <w:tcPr>
            <w:tcW w:w="1153" w:type="dxa"/>
            <w:vAlign w:val="center"/>
          </w:tcPr>
          <w:p w14:paraId="656A3336">
            <w:pPr>
              <w:snapToGrid w:val="0"/>
              <w:jc w:val="center"/>
              <w:rPr>
                <w:rFonts w:hint="eastAsia" w:ascii="宋体" w:hAnsi="宋体" w:cs="宋体"/>
                <w:sz w:val="18"/>
                <w:szCs w:val="18"/>
              </w:rPr>
            </w:pPr>
            <w:r>
              <w:rPr>
                <w:rFonts w:hint="eastAsia" w:ascii="宋体" w:hAnsi="宋体"/>
                <w:sz w:val="18"/>
                <w:szCs w:val="18"/>
              </w:rPr>
              <w:t>≤ 640</w:t>
            </w:r>
          </w:p>
        </w:tc>
        <w:tc>
          <w:tcPr>
            <w:tcW w:w="1154" w:type="dxa"/>
            <w:vAlign w:val="bottom"/>
          </w:tcPr>
          <w:p w14:paraId="363B7E3A">
            <w:pPr>
              <w:snapToGrid w:val="0"/>
              <w:jc w:val="center"/>
              <w:rPr>
                <w:rFonts w:hint="eastAsia" w:ascii="宋体" w:hAnsi="宋体"/>
                <w:sz w:val="18"/>
                <w:szCs w:val="18"/>
              </w:rPr>
            </w:pPr>
            <w:r>
              <w:rPr>
                <w:rFonts w:hint="eastAsia" w:ascii="宋体" w:hAnsi="宋体"/>
                <w:sz w:val="18"/>
                <w:szCs w:val="18"/>
              </w:rPr>
              <w:t>≤ 625</w:t>
            </w:r>
          </w:p>
        </w:tc>
        <w:tc>
          <w:tcPr>
            <w:tcW w:w="2126" w:type="dxa"/>
            <w:gridSpan w:val="2"/>
          </w:tcPr>
          <w:p w14:paraId="23664838">
            <w:pPr>
              <w:snapToGrid w:val="0"/>
              <w:jc w:val="center"/>
              <w:rPr>
                <w:rFonts w:hint="eastAsia" w:ascii="宋体" w:hAnsi="宋体"/>
                <w:sz w:val="18"/>
                <w:szCs w:val="18"/>
              </w:rPr>
            </w:pPr>
            <w:r>
              <w:rPr>
                <w:rFonts w:hint="eastAsia" w:ascii="宋体" w:hAnsi="宋体"/>
                <w:sz w:val="18"/>
                <w:szCs w:val="18"/>
              </w:rPr>
              <w:t>-</w:t>
            </w:r>
          </w:p>
        </w:tc>
        <w:tc>
          <w:tcPr>
            <w:tcW w:w="2587" w:type="dxa"/>
            <w:gridSpan w:val="2"/>
            <w:vAlign w:val="center"/>
          </w:tcPr>
          <w:p w14:paraId="25ED5B52">
            <w:pPr>
              <w:snapToGrid w:val="0"/>
              <w:jc w:val="center"/>
              <w:rPr>
                <w:rFonts w:hint="eastAsia" w:ascii="宋体" w:hAnsi="宋体"/>
                <w:sz w:val="18"/>
                <w:szCs w:val="18"/>
              </w:rPr>
            </w:pPr>
            <w:r>
              <w:rPr>
                <w:rFonts w:hint="eastAsia" w:ascii="宋体" w:hAnsi="宋体"/>
                <w:sz w:val="18"/>
                <w:szCs w:val="18"/>
              </w:rPr>
              <w:t>-</w:t>
            </w:r>
          </w:p>
        </w:tc>
      </w:tr>
      <w:tr w14:paraId="01488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7" w:type="dxa"/>
            <w:vMerge w:val="continue"/>
            <w:vAlign w:val="center"/>
          </w:tcPr>
          <w:p w14:paraId="13D980A2">
            <w:pPr>
              <w:snapToGrid w:val="0"/>
              <w:jc w:val="center"/>
              <w:rPr>
                <w:rFonts w:hint="eastAsia" w:ascii="宋体" w:hAnsi="宋体"/>
                <w:iCs/>
                <w:sz w:val="18"/>
                <w:szCs w:val="18"/>
              </w:rPr>
            </w:pPr>
          </w:p>
        </w:tc>
        <w:tc>
          <w:tcPr>
            <w:tcW w:w="1845" w:type="dxa"/>
            <w:vAlign w:val="center"/>
          </w:tcPr>
          <w:p w14:paraId="1A28851F">
            <w:pPr>
              <w:snapToGrid w:val="0"/>
              <w:jc w:val="center"/>
              <w:rPr>
                <w:rFonts w:hint="eastAsia" w:ascii="宋体" w:hAnsi="宋体"/>
                <w:iCs/>
                <w:sz w:val="18"/>
                <w:szCs w:val="18"/>
              </w:rPr>
            </w:pPr>
            <w:r>
              <w:rPr>
                <w:rFonts w:hint="eastAsia" w:ascii="宋体" w:hAnsi="宋体"/>
                <w:iCs/>
                <w:sz w:val="18"/>
                <w:szCs w:val="18"/>
              </w:rPr>
              <w:t>2.0</w:t>
            </w:r>
            <w:r>
              <w:rPr>
                <w:rFonts w:hint="eastAsia" w:ascii="宋体" w:hAnsi="宋体"/>
                <w:sz w:val="18"/>
                <w:szCs w:val="18"/>
              </w:rPr>
              <w:t xml:space="preserve"> t</w:t>
            </w:r>
          </w:p>
        </w:tc>
        <w:tc>
          <w:tcPr>
            <w:tcW w:w="1153" w:type="dxa"/>
            <w:vAlign w:val="center"/>
          </w:tcPr>
          <w:p w14:paraId="1F87A791">
            <w:pPr>
              <w:snapToGrid w:val="0"/>
              <w:jc w:val="center"/>
              <w:rPr>
                <w:rFonts w:hint="eastAsia" w:ascii="宋体" w:hAnsi="宋体" w:cs="宋体"/>
                <w:sz w:val="18"/>
                <w:szCs w:val="18"/>
              </w:rPr>
            </w:pPr>
            <w:r>
              <w:rPr>
                <w:rFonts w:hint="eastAsia" w:ascii="宋体" w:hAnsi="宋体"/>
                <w:sz w:val="18"/>
                <w:szCs w:val="18"/>
              </w:rPr>
              <w:t>≤ 630</w:t>
            </w:r>
          </w:p>
        </w:tc>
        <w:tc>
          <w:tcPr>
            <w:tcW w:w="1154" w:type="dxa"/>
            <w:vAlign w:val="bottom"/>
          </w:tcPr>
          <w:p w14:paraId="32342D15">
            <w:pPr>
              <w:snapToGrid w:val="0"/>
              <w:jc w:val="center"/>
              <w:rPr>
                <w:rFonts w:hint="eastAsia" w:ascii="宋体" w:hAnsi="宋体"/>
                <w:sz w:val="18"/>
                <w:szCs w:val="18"/>
              </w:rPr>
            </w:pPr>
            <w:r>
              <w:rPr>
                <w:rFonts w:hint="eastAsia" w:ascii="宋体" w:hAnsi="宋体"/>
                <w:sz w:val="18"/>
                <w:szCs w:val="18"/>
              </w:rPr>
              <w:t>≤ 600</w:t>
            </w:r>
          </w:p>
        </w:tc>
        <w:tc>
          <w:tcPr>
            <w:tcW w:w="2126" w:type="dxa"/>
            <w:gridSpan w:val="2"/>
          </w:tcPr>
          <w:p w14:paraId="16B25C71">
            <w:pPr>
              <w:snapToGrid w:val="0"/>
              <w:jc w:val="center"/>
              <w:rPr>
                <w:rFonts w:hint="eastAsia" w:ascii="宋体" w:hAnsi="宋体"/>
                <w:sz w:val="18"/>
                <w:szCs w:val="18"/>
              </w:rPr>
            </w:pPr>
            <w:r>
              <w:rPr>
                <w:rFonts w:hint="eastAsia" w:ascii="宋体" w:hAnsi="宋体"/>
                <w:sz w:val="18"/>
                <w:szCs w:val="18"/>
              </w:rPr>
              <w:t>-</w:t>
            </w:r>
          </w:p>
        </w:tc>
        <w:tc>
          <w:tcPr>
            <w:tcW w:w="2587" w:type="dxa"/>
            <w:gridSpan w:val="2"/>
            <w:vAlign w:val="center"/>
          </w:tcPr>
          <w:p w14:paraId="53911E69">
            <w:pPr>
              <w:snapToGrid w:val="0"/>
              <w:jc w:val="center"/>
              <w:rPr>
                <w:rFonts w:hint="eastAsia" w:ascii="宋体" w:hAnsi="宋体"/>
                <w:sz w:val="18"/>
                <w:szCs w:val="18"/>
              </w:rPr>
            </w:pPr>
            <w:r>
              <w:rPr>
                <w:rFonts w:hint="eastAsia" w:ascii="宋体" w:hAnsi="宋体"/>
                <w:sz w:val="18"/>
                <w:szCs w:val="18"/>
              </w:rPr>
              <w:t>-</w:t>
            </w:r>
          </w:p>
        </w:tc>
      </w:tr>
      <w:tr w14:paraId="57CB3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7" w:type="dxa"/>
            <w:vMerge w:val="continue"/>
            <w:vAlign w:val="center"/>
          </w:tcPr>
          <w:p w14:paraId="567B50B1">
            <w:pPr>
              <w:snapToGrid w:val="0"/>
              <w:jc w:val="center"/>
              <w:rPr>
                <w:rFonts w:hint="eastAsia" w:ascii="宋体" w:hAnsi="宋体"/>
                <w:iCs/>
                <w:sz w:val="18"/>
                <w:szCs w:val="18"/>
              </w:rPr>
            </w:pPr>
          </w:p>
        </w:tc>
        <w:tc>
          <w:tcPr>
            <w:tcW w:w="1845" w:type="dxa"/>
            <w:vAlign w:val="center"/>
          </w:tcPr>
          <w:p w14:paraId="53D36739">
            <w:pPr>
              <w:snapToGrid w:val="0"/>
              <w:jc w:val="center"/>
              <w:rPr>
                <w:rFonts w:hint="eastAsia" w:ascii="宋体" w:hAnsi="宋体"/>
                <w:iCs/>
                <w:sz w:val="18"/>
                <w:szCs w:val="18"/>
              </w:rPr>
            </w:pPr>
            <w:r>
              <w:rPr>
                <w:rFonts w:hint="eastAsia" w:ascii="宋体" w:hAnsi="宋体"/>
                <w:sz w:val="18"/>
                <w:szCs w:val="18"/>
              </w:rPr>
              <w:t>≥</w:t>
            </w:r>
            <w:r>
              <w:rPr>
                <w:rFonts w:hint="eastAsia" w:ascii="宋体" w:hAnsi="宋体"/>
                <w:iCs/>
                <w:sz w:val="18"/>
                <w:szCs w:val="18"/>
              </w:rPr>
              <w:t>3</w:t>
            </w:r>
            <w:r>
              <w:rPr>
                <w:rFonts w:hint="eastAsia" w:ascii="宋体" w:hAnsi="宋体"/>
                <w:sz w:val="18"/>
                <w:szCs w:val="18"/>
              </w:rPr>
              <w:t xml:space="preserve"> t</w:t>
            </w:r>
          </w:p>
        </w:tc>
        <w:tc>
          <w:tcPr>
            <w:tcW w:w="1153" w:type="dxa"/>
            <w:vAlign w:val="center"/>
          </w:tcPr>
          <w:p w14:paraId="702BE19A">
            <w:pPr>
              <w:snapToGrid w:val="0"/>
              <w:jc w:val="center"/>
              <w:rPr>
                <w:rFonts w:hint="eastAsia" w:ascii="宋体" w:hAnsi="宋体" w:cs="宋体"/>
                <w:sz w:val="18"/>
                <w:szCs w:val="18"/>
              </w:rPr>
            </w:pPr>
            <w:r>
              <w:rPr>
                <w:rFonts w:hint="eastAsia" w:ascii="宋体" w:hAnsi="宋体"/>
                <w:sz w:val="18"/>
                <w:szCs w:val="18"/>
              </w:rPr>
              <w:t>≤ 620</w:t>
            </w:r>
          </w:p>
        </w:tc>
        <w:tc>
          <w:tcPr>
            <w:tcW w:w="1154" w:type="dxa"/>
            <w:vAlign w:val="bottom"/>
          </w:tcPr>
          <w:p w14:paraId="5E7AC05D">
            <w:pPr>
              <w:snapToGrid w:val="0"/>
              <w:jc w:val="center"/>
              <w:rPr>
                <w:rFonts w:hint="eastAsia" w:ascii="宋体" w:hAnsi="宋体"/>
                <w:sz w:val="18"/>
                <w:szCs w:val="18"/>
              </w:rPr>
            </w:pPr>
            <w:r>
              <w:rPr>
                <w:rFonts w:hint="eastAsia" w:ascii="宋体" w:hAnsi="宋体"/>
                <w:sz w:val="18"/>
                <w:szCs w:val="18"/>
              </w:rPr>
              <w:t>≤ 585</w:t>
            </w:r>
          </w:p>
        </w:tc>
        <w:tc>
          <w:tcPr>
            <w:tcW w:w="2126" w:type="dxa"/>
            <w:gridSpan w:val="2"/>
          </w:tcPr>
          <w:p w14:paraId="26328D86">
            <w:pPr>
              <w:snapToGrid w:val="0"/>
              <w:jc w:val="center"/>
              <w:rPr>
                <w:rFonts w:hint="eastAsia" w:ascii="宋体" w:hAnsi="宋体"/>
                <w:sz w:val="18"/>
                <w:szCs w:val="18"/>
              </w:rPr>
            </w:pPr>
            <w:r>
              <w:rPr>
                <w:rFonts w:hint="eastAsia" w:ascii="宋体" w:hAnsi="宋体"/>
                <w:sz w:val="18"/>
                <w:szCs w:val="18"/>
              </w:rPr>
              <w:t>-</w:t>
            </w:r>
          </w:p>
        </w:tc>
        <w:tc>
          <w:tcPr>
            <w:tcW w:w="2587" w:type="dxa"/>
            <w:gridSpan w:val="2"/>
            <w:vAlign w:val="center"/>
          </w:tcPr>
          <w:p w14:paraId="7C6C0A12">
            <w:pPr>
              <w:snapToGrid w:val="0"/>
              <w:jc w:val="center"/>
              <w:rPr>
                <w:rFonts w:hint="eastAsia" w:ascii="宋体" w:hAnsi="宋体"/>
                <w:sz w:val="18"/>
                <w:szCs w:val="18"/>
              </w:rPr>
            </w:pPr>
            <w:r>
              <w:rPr>
                <w:rFonts w:hint="eastAsia" w:ascii="宋体" w:hAnsi="宋体"/>
                <w:sz w:val="18"/>
                <w:szCs w:val="18"/>
              </w:rPr>
              <w:t>-</w:t>
            </w:r>
          </w:p>
        </w:tc>
      </w:tr>
      <w:tr w14:paraId="7B599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7" w:type="dxa"/>
            <w:vMerge w:val="restart"/>
            <w:vAlign w:val="center"/>
          </w:tcPr>
          <w:p w14:paraId="2B0F3658">
            <w:pPr>
              <w:snapToGrid w:val="0"/>
              <w:jc w:val="center"/>
              <w:rPr>
                <w:rFonts w:hint="eastAsia" w:ascii="宋体" w:hAnsi="宋体"/>
                <w:sz w:val="18"/>
                <w:szCs w:val="18"/>
              </w:rPr>
            </w:pPr>
            <w:r>
              <w:rPr>
                <w:rFonts w:hint="eastAsia" w:ascii="宋体" w:hAnsi="宋体"/>
                <w:sz w:val="18"/>
                <w:szCs w:val="18"/>
              </w:rPr>
              <w:t>电阻炉</w:t>
            </w:r>
          </w:p>
        </w:tc>
        <w:tc>
          <w:tcPr>
            <w:tcW w:w="1845" w:type="dxa"/>
            <w:vAlign w:val="center"/>
          </w:tcPr>
          <w:p w14:paraId="01A4A963">
            <w:pPr>
              <w:snapToGrid w:val="0"/>
              <w:jc w:val="center"/>
              <w:rPr>
                <w:rFonts w:hint="eastAsia" w:ascii="宋体" w:hAnsi="宋体"/>
                <w:sz w:val="18"/>
                <w:szCs w:val="18"/>
              </w:rPr>
            </w:pPr>
            <w:r>
              <w:rPr>
                <w:rFonts w:hint="eastAsia" w:ascii="宋体" w:hAnsi="宋体"/>
                <w:i/>
                <w:iCs/>
                <w:sz w:val="18"/>
                <w:szCs w:val="18"/>
              </w:rPr>
              <w:t>a</w:t>
            </w:r>
            <w:r>
              <w:rPr>
                <w:rFonts w:hint="eastAsia" w:ascii="宋体" w:hAnsi="宋体"/>
                <w:sz w:val="18"/>
                <w:szCs w:val="18"/>
              </w:rPr>
              <w:t>≤0.15 t</w:t>
            </w:r>
          </w:p>
        </w:tc>
        <w:tc>
          <w:tcPr>
            <w:tcW w:w="2307" w:type="dxa"/>
            <w:gridSpan w:val="2"/>
          </w:tcPr>
          <w:p w14:paraId="2502DF28">
            <w:pPr>
              <w:snapToGrid w:val="0"/>
              <w:jc w:val="center"/>
              <w:rPr>
                <w:rFonts w:hint="eastAsia" w:ascii="宋体" w:hAnsi="宋体"/>
                <w:sz w:val="18"/>
                <w:szCs w:val="18"/>
              </w:rPr>
            </w:pPr>
            <w:r>
              <w:rPr>
                <w:rFonts w:hint="eastAsia" w:ascii="宋体" w:hAnsi="宋体"/>
                <w:sz w:val="18"/>
                <w:szCs w:val="18"/>
              </w:rPr>
              <w:t>-</w:t>
            </w:r>
          </w:p>
        </w:tc>
        <w:tc>
          <w:tcPr>
            <w:tcW w:w="1063" w:type="dxa"/>
            <w:vAlign w:val="bottom"/>
          </w:tcPr>
          <w:p w14:paraId="7A37D11A">
            <w:pPr>
              <w:snapToGrid w:val="0"/>
              <w:jc w:val="center"/>
              <w:rPr>
                <w:rFonts w:hint="eastAsia" w:ascii="宋体" w:hAnsi="宋体" w:cs="宋体"/>
                <w:sz w:val="18"/>
                <w:szCs w:val="18"/>
              </w:rPr>
            </w:pPr>
            <w:r>
              <w:rPr>
                <w:rFonts w:hint="eastAsia" w:ascii="宋体" w:hAnsi="宋体"/>
                <w:sz w:val="18"/>
                <w:szCs w:val="18"/>
              </w:rPr>
              <w:t>≤ 830</w:t>
            </w:r>
          </w:p>
        </w:tc>
        <w:tc>
          <w:tcPr>
            <w:tcW w:w="1063" w:type="dxa"/>
            <w:vAlign w:val="bottom"/>
          </w:tcPr>
          <w:p w14:paraId="4A5DDA67">
            <w:pPr>
              <w:snapToGrid w:val="0"/>
              <w:jc w:val="center"/>
              <w:rPr>
                <w:rFonts w:hint="eastAsia" w:ascii="宋体" w:hAnsi="宋体"/>
                <w:sz w:val="18"/>
                <w:szCs w:val="18"/>
              </w:rPr>
            </w:pPr>
            <w:r>
              <w:rPr>
                <w:rFonts w:hint="eastAsia" w:ascii="宋体" w:hAnsi="宋体"/>
                <w:sz w:val="18"/>
                <w:szCs w:val="18"/>
              </w:rPr>
              <w:t>≤ 828</w:t>
            </w:r>
          </w:p>
        </w:tc>
        <w:tc>
          <w:tcPr>
            <w:tcW w:w="2587" w:type="dxa"/>
            <w:gridSpan w:val="2"/>
          </w:tcPr>
          <w:p w14:paraId="0D907EB5">
            <w:pPr>
              <w:snapToGrid w:val="0"/>
              <w:jc w:val="center"/>
              <w:rPr>
                <w:rFonts w:hint="eastAsia" w:ascii="宋体" w:hAnsi="宋体"/>
                <w:sz w:val="18"/>
                <w:szCs w:val="18"/>
              </w:rPr>
            </w:pPr>
            <w:r>
              <w:rPr>
                <w:rFonts w:hint="eastAsia" w:ascii="宋体" w:hAnsi="宋体"/>
                <w:sz w:val="18"/>
                <w:szCs w:val="18"/>
              </w:rPr>
              <w:t>-</w:t>
            </w:r>
          </w:p>
        </w:tc>
      </w:tr>
      <w:tr w14:paraId="5EF19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7" w:type="dxa"/>
            <w:vMerge w:val="continue"/>
            <w:vAlign w:val="center"/>
          </w:tcPr>
          <w:p w14:paraId="382A14AA">
            <w:pPr>
              <w:snapToGrid w:val="0"/>
              <w:jc w:val="center"/>
              <w:rPr>
                <w:rFonts w:hint="eastAsia" w:ascii="宋体" w:hAnsi="宋体"/>
                <w:sz w:val="18"/>
                <w:szCs w:val="18"/>
              </w:rPr>
            </w:pPr>
          </w:p>
        </w:tc>
        <w:tc>
          <w:tcPr>
            <w:tcW w:w="1845" w:type="dxa"/>
            <w:vAlign w:val="center"/>
          </w:tcPr>
          <w:p w14:paraId="41679D4B">
            <w:pPr>
              <w:snapToGrid w:val="0"/>
              <w:jc w:val="center"/>
              <w:rPr>
                <w:rFonts w:hint="eastAsia" w:ascii="宋体" w:hAnsi="宋体"/>
                <w:sz w:val="18"/>
                <w:szCs w:val="18"/>
              </w:rPr>
            </w:pPr>
            <w:r>
              <w:rPr>
                <w:rFonts w:hint="eastAsia" w:ascii="宋体" w:hAnsi="宋体"/>
                <w:sz w:val="18"/>
                <w:szCs w:val="18"/>
              </w:rPr>
              <w:t>0.3 t</w:t>
            </w:r>
          </w:p>
        </w:tc>
        <w:tc>
          <w:tcPr>
            <w:tcW w:w="2307" w:type="dxa"/>
            <w:gridSpan w:val="2"/>
          </w:tcPr>
          <w:p w14:paraId="3F0A106D">
            <w:pPr>
              <w:snapToGrid w:val="0"/>
              <w:jc w:val="center"/>
              <w:rPr>
                <w:rFonts w:hint="eastAsia" w:ascii="宋体" w:hAnsi="宋体"/>
                <w:sz w:val="18"/>
                <w:szCs w:val="18"/>
              </w:rPr>
            </w:pPr>
            <w:r>
              <w:rPr>
                <w:rFonts w:hint="eastAsia" w:ascii="宋体" w:hAnsi="宋体"/>
                <w:sz w:val="18"/>
                <w:szCs w:val="18"/>
              </w:rPr>
              <w:t>-</w:t>
            </w:r>
          </w:p>
        </w:tc>
        <w:tc>
          <w:tcPr>
            <w:tcW w:w="1063" w:type="dxa"/>
            <w:vAlign w:val="bottom"/>
          </w:tcPr>
          <w:p w14:paraId="0024F8B3">
            <w:pPr>
              <w:snapToGrid w:val="0"/>
              <w:jc w:val="center"/>
              <w:rPr>
                <w:rFonts w:hint="eastAsia" w:ascii="宋体" w:hAnsi="宋体" w:cs="宋体"/>
                <w:sz w:val="18"/>
                <w:szCs w:val="18"/>
              </w:rPr>
            </w:pPr>
            <w:r>
              <w:rPr>
                <w:rFonts w:hint="eastAsia" w:ascii="宋体" w:hAnsi="宋体"/>
                <w:sz w:val="18"/>
                <w:szCs w:val="18"/>
              </w:rPr>
              <w:t>≤ 800</w:t>
            </w:r>
          </w:p>
        </w:tc>
        <w:tc>
          <w:tcPr>
            <w:tcW w:w="1063" w:type="dxa"/>
            <w:vAlign w:val="bottom"/>
          </w:tcPr>
          <w:p w14:paraId="25658900">
            <w:pPr>
              <w:snapToGrid w:val="0"/>
              <w:jc w:val="center"/>
              <w:rPr>
                <w:rFonts w:hint="eastAsia" w:ascii="宋体" w:hAnsi="宋体"/>
                <w:sz w:val="18"/>
                <w:szCs w:val="18"/>
              </w:rPr>
            </w:pPr>
            <w:r>
              <w:rPr>
                <w:rFonts w:hint="eastAsia" w:ascii="宋体" w:hAnsi="宋体"/>
                <w:sz w:val="18"/>
                <w:szCs w:val="18"/>
              </w:rPr>
              <w:t>≤ 788</w:t>
            </w:r>
          </w:p>
        </w:tc>
        <w:tc>
          <w:tcPr>
            <w:tcW w:w="2587" w:type="dxa"/>
            <w:gridSpan w:val="2"/>
          </w:tcPr>
          <w:p w14:paraId="434591A7">
            <w:pPr>
              <w:snapToGrid w:val="0"/>
              <w:jc w:val="center"/>
              <w:rPr>
                <w:rFonts w:hint="eastAsia" w:ascii="宋体" w:hAnsi="宋体"/>
                <w:sz w:val="18"/>
                <w:szCs w:val="18"/>
              </w:rPr>
            </w:pPr>
            <w:r>
              <w:rPr>
                <w:rFonts w:hint="eastAsia" w:ascii="宋体" w:hAnsi="宋体"/>
                <w:sz w:val="18"/>
                <w:szCs w:val="18"/>
              </w:rPr>
              <w:t>-</w:t>
            </w:r>
          </w:p>
        </w:tc>
      </w:tr>
      <w:tr w14:paraId="4BC81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7" w:type="dxa"/>
            <w:vMerge w:val="continue"/>
            <w:vAlign w:val="center"/>
          </w:tcPr>
          <w:p w14:paraId="74EB1918">
            <w:pPr>
              <w:snapToGrid w:val="0"/>
              <w:jc w:val="center"/>
              <w:rPr>
                <w:rFonts w:hint="eastAsia" w:ascii="宋体" w:hAnsi="宋体"/>
                <w:sz w:val="18"/>
                <w:szCs w:val="18"/>
              </w:rPr>
            </w:pPr>
          </w:p>
        </w:tc>
        <w:tc>
          <w:tcPr>
            <w:tcW w:w="1845" w:type="dxa"/>
            <w:vAlign w:val="center"/>
          </w:tcPr>
          <w:p w14:paraId="7A2E951E">
            <w:pPr>
              <w:snapToGrid w:val="0"/>
              <w:jc w:val="center"/>
              <w:rPr>
                <w:rFonts w:hint="eastAsia" w:ascii="宋体" w:hAnsi="宋体"/>
                <w:sz w:val="18"/>
                <w:szCs w:val="18"/>
              </w:rPr>
            </w:pPr>
            <w:r>
              <w:rPr>
                <w:rFonts w:hint="eastAsia" w:ascii="宋体" w:hAnsi="宋体"/>
                <w:iCs/>
                <w:sz w:val="18"/>
                <w:szCs w:val="18"/>
              </w:rPr>
              <w:t>0.5</w:t>
            </w:r>
            <w:r>
              <w:rPr>
                <w:rFonts w:hint="eastAsia" w:ascii="宋体" w:hAnsi="宋体"/>
                <w:sz w:val="18"/>
                <w:szCs w:val="18"/>
              </w:rPr>
              <w:t xml:space="preserve"> t</w:t>
            </w:r>
          </w:p>
        </w:tc>
        <w:tc>
          <w:tcPr>
            <w:tcW w:w="2307" w:type="dxa"/>
            <w:gridSpan w:val="2"/>
          </w:tcPr>
          <w:p w14:paraId="681B9336">
            <w:pPr>
              <w:snapToGrid w:val="0"/>
              <w:jc w:val="center"/>
              <w:rPr>
                <w:rFonts w:hint="eastAsia" w:ascii="宋体" w:hAnsi="宋体"/>
                <w:sz w:val="18"/>
                <w:szCs w:val="18"/>
              </w:rPr>
            </w:pPr>
            <w:r>
              <w:rPr>
                <w:rFonts w:hint="eastAsia" w:ascii="宋体" w:hAnsi="宋体"/>
                <w:sz w:val="18"/>
                <w:szCs w:val="18"/>
              </w:rPr>
              <w:t>-</w:t>
            </w:r>
          </w:p>
        </w:tc>
        <w:tc>
          <w:tcPr>
            <w:tcW w:w="1063" w:type="dxa"/>
            <w:vAlign w:val="bottom"/>
          </w:tcPr>
          <w:p w14:paraId="04EB6D71">
            <w:pPr>
              <w:snapToGrid w:val="0"/>
              <w:jc w:val="center"/>
              <w:rPr>
                <w:rFonts w:hint="eastAsia" w:ascii="宋体" w:hAnsi="宋体" w:cs="宋体"/>
                <w:sz w:val="18"/>
                <w:szCs w:val="18"/>
              </w:rPr>
            </w:pPr>
            <w:r>
              <w:rPr>
                <w:rFonts w:hint="eastAsia" w:ascii="宋体" w:hAnsi="宋体"/>
                <w:sz w:val="18"/>
                <w:szCs w:val="18"/>
              </w:rPr>
              <w:t>≤ 750</w:t>
            </w:r>
          </w:p>
        </w:tc>
        <w:tc>
          <w:tcPr>
            <w:tcW w:w="1063" w:type="dxa"/>
            <w:vAlign w:val="bottom"/>
          </w:tcPr>
          <w:p w14:paraId="56D22DF7">
            <w:pPr>
              <w:snapToGrid w:val="0"/>
              <w:jc w:val="center"/>
              <w:rPr>
                <w:rFonts w:hint="eastAsia" w:ascii="宋体" w:hAnsi="宋体"/>
                <w:sz w:val="18"/>
                <w:szCs w:val="18"/>
              </w:rPr>
            </w:pPr>
            <w:r>
              <w:rPr>
                <w:rFonts w:hint="eastAsia" w:ascii="宋体" w:hAnsi="宋体"/>
                <w:sz w:val="18"/>
                <w:szCs w:val="18"/>
              </w:rPr>
              <w:t>≤ 739</w:t>
            </w:r>
          </w:p>
        </w:tc>
        <w:tc>
          <w:tcPr>
            <w:tcW w:w="2587" w:type="dxa"/>
            <w:gridSpan w:val="2"/>
          </w:tcPr>
          <w:p w14:paraId="583A331F">
            <w:pPr>
              <w:snapToGrid w:val="0"/>
              <w:jc w:val="center"/>
              <w:rPr>
                <w:rFonts w:hint="eastAsia" w:ascii="宋体" w:hAnsi="宋体"/>
                <w:sz w:val="18"/>
                <w:szCs w:val="18"/>
              </w:rPr>
            </w:pPr>
            <w:r>
              <w:rPr>
                <w:rFonts w:hint="eastAsia" w:ascii="宋体" w:hAnsi="宋体"/>
                <w:sz w:val="18"/>
                <w:szCs w:val="18"/>
              </w:rPr>
              <w:t>-</w:t>
            </w:r>
          </w:p>
        </w:tc>
      </w:tr>
      <w:tr w14:paraId="4EC5D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7" w:type="dxa"/>
            <w:vMerge w:val="continue"/>
            <w:vAlign w:val="center"/>
          </w:tcPr>
          <w:p w14:paraId="561A2889">
            <w:pPr>
              <w:snapToGrid w:val="0"/>
              <w:jc w:val="center"/>
              <w:rPr>
                <w:rFonts w:hint="eastAsia" w:ascii="宋体" w:hAnsi="宋体"/>
                <w:sz w:val="18"/>
                <w:szCs w:val="18"/>
              </w:rPr>
            </w:pPr>
          </w:p>
        </w:tc>
        <w:tc>
          <w:tcPr>
            <w:tcW w:w="1845" w:type="dxa"/>
            <w:vAlign w:val="center"/>
          </w:tcPr>
          <w:p w14:paraId="4491F320">
            <w:pPr>
              <w:snapToGrid w:val="0"/>
              <w:jc w:val="center"/>
              <w:rPr>
                <w:rFonts w:hint="eastAsia" w:ascii="宋体" w:hAnsi="宋体"/>
                <w:sz w:val="18"/>
                <w:szCs w:val="18"/>
              </w:rPr>
            </w:pPr>
            <w:r>
              <w:rPr>
                <w:rFonts w:hint="eastAsia" w:ascii="宋体" w:hAnsi="宋体"/>
                <w:sz w:val="18"/>
                <w:szCs w:val="18"/>
              </w:rPr>
              <w:t>≥</w:t>
            </w:r>
            <w:r>
              <w:rPr>
                <w:rFonts w:hint="eastAsia" w:ascii="宋体" w:hAnsi="宋体"/>
                <w:iCs/>
                <w:sz w:val="18"/>
                <w:szCs w:val="18"/>
              </w:rPr>
              <w:t>1</w:t>
            </w:r>
            <w:r>
              <w:rPr>
                <w:rFonts w:hint="eastAsia" w:ascii="宋体" w:hAnsi="宋体"/>
                <w:sz w:val="18"/>
                <w:szCs w:val="18"/>
              </w:rPr>
              <w:t xml:space="preserve"> t</w:t>
            </w:r>
          </w:p>
        </w:tc>
        <w:tc>
          <w:tcPr>
            <w:tcW w:w="2307" w:type="dxa"/>
            <w:gridSpan w:val="2"/>
          </w:tcPr>
          <w:p w14:paraId="2E28E6EC">
            <w:pPr>
              <w:snapToGrid w:val="0"/>
              <w:jc w:val="center"/>
              <w:rPr>
                <w:rFonts w:hint="eastAsia" w:ascii="宋体" w:hAnsi="宋体"/>
                <w:sz w:val="18"/>
                <w:szCs w:val="18"/>
              </w:rPr>
            </w:pPr>
            <w:r>
              <w:rPr>
                <w:rFonts w:hint="eastAsia" w:ascii="宋体" w:hAnsi="宋体"/>
                <w:sz w:val="18"/>
                <w:szCs w:val="18"/>
              </w:rPr>
              <w:t>-</w:t>
            </w:r>
          </w:p>
        </w:tc>
        <w:tc>
          <w:tcPr>
            <w:tcW w:w="1063" w:type="dxa"/>
            <w:vAlign w:val="bottom"/>
          </w:tcPr>
          <w:p w14:paraId="722FAC78">
            <w:pPr>
              <w:snapToGrid w:val="0"/>
              <w:jc w:val="center"/>
              <w:rPr>
                <w:rFonts w:hint="eastAsia" w:ascii="宋体" w:hAnsi="宋体" w:cs="宋体"/>
                <w:sz w:val="18"/>
                <w:szCs w:val="18"/>
              </w:rPr>
            </w:pPr>
            <w:r>
              <w:rPr>
                <w:rFonts w:hint="eastAsia" w:ascii="宋体" w:hAnsi="宋体"/>
                <w:sz w:val="18"/>
                <w:szCs w:val="18"/>
              </w:rPr>
              <w:t>≤ 700</w:t>
            </w:r>
          </w:p>
        </w:tc>
        <w:tc>
          <w:tcPr>
            <w:tcW w:w="1063" w:type="dxa"/>
            <w:vAlign w:val="bottom"/>
          </w:tcPr>
          <w:p w14:paraId="29F87566">
            <w:pPr>
              <w:snapToGrid w:val="0"/>
              <w:jc w:val="center"/>
              <w:rPr>
                <w:rFonts w:hint="eastAsia" w:ascii="宋体" w:hAnsi="宋体"/>
                <w:sz w:val="18"/>
                <w:szCs w:val="18"/>
              </w:rPr>
            </w:pPr>
            <w:r>
              <w:rPr>
                <w:rFonts w:hint="eastAsia" w:ascii="宋体" w:hAnsi="宋体"/>
                <w:sz w:val="18"/>
                <w:szCs w:val="18"/>
              </w:rPr>
              <w:t>≤ 684</w:t>
            </w:r>
          </w:p>
        </w:tc>
        <w:tc>
          <w:tcPr>
            <w:tcW w:w="2587" w:type="dxa"/>
            <w:gridSpan w:val="2"/>
          </w:tcPr>
          <w:p w14:paraId="3BBCA2FF">
            <w:pPr>
              <w:snapToGrid w:val="0"/>
              <w:jc w:val="center"/>
              <w:rPr>
                <w:rFonts w:hint="eastAsia" w:ascii="宋体" w:hAnsi="宋体"/>
                <w:sz w:val="18"/>
                <w:szCs w:val="18"/>
              </w:rPr>
            </w:pPr>
            <w:r>
              <w:rPr>
                <w:rFonts w:hint="eastAsia" w:ascii="宋体" w:hAnsi="宋体"/>
                <w:sz w:val="18"/>
                <w:szCs w:val="18"/>
              </w:rPr>
              <w:t>-</w:t>
            </w:r>
          </w:p>
        </w:tc>
      </w:tr>
      <w:tr w14:paraId="11C12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2" w:type="dxa"/>
            <w:gridSpan w:val="2"/>
            <w:vAlign w:val="center"/>
          </w:tcPr>
          <w:p w14:paraId="177F55FD">
            <w:pPr>
              <w:snapToGrid w:val="0"/>
              <w:jc w:val="center"/>
              <w:rPr>
                <w:rFonts w:hint="eastAsia" w:ascii="宋体" w:hAnsi="宋体"/>
                <w:sz w:val="18"/>
                <w:szCs w:val="18"/>
              </w:rPr>
            </w:pPr>
            <w:r>
              <w:rPr>
                <w:rFonts w:hint="eastAsia" w:ascii="宋体" w:hAnsi="宋体"/>
                <w:sz w:val="18"/>
                <w:szCs w:val="18"/>
              </w:rPr>
              <w:t>燃气铝合金熔化炉</w:t>
            </w:r>
          </w:p>
        </w:tc>
        <w:tc>
          <w:tcPr>
            <w:tcW w:w="2307" w:type="dxa"/>
            <w:gridSpan w:val="2"/>
            <w:vAlign w:val="center"/>
          </w:tcPr>
          <w:p w14:paraId="0B1294A5">
            <w:pPr>
              <w:snapToGrid w:val="0"/>
              <w:jc w:val="center"/>
              <w:rPr>
                <w:rFonts w:hint="eastAsia" w:ascii="宋体" w:hAnsi="宋体"/>
                <w:sz w:val="18"/>
                <w:szCs w:val="18"/>
              </w:rPr>
            </w:pPr>
            <w:r>
              <w:rPr>
                <w:rFonts w:hint="eastAsia" w:ascii="宋体" w:hAnsi="宋体"/>
                <w:sz w:val="18"/>
                <w:szCs w:val="18"/>
              </w:rPr>
              <w:t>-</w:t>
            </w:r>
          </w:p>
        </w:tc>
        <w:tc>
          <w:tcPr>
            <w:tcW w:w="2126" w:type="dxa"/>
            <w:gridSpan w:val="2"/>
            <w:vAlign w:val="center"/>
          </w:tcPr>
          <w:p w14:paraId="62DD273A">
            <w:pPr>
              <w:snapToGrid w:val="0"/>
              <w:jc w:val="center"/>
              <w:rPr>
                <w:rFonts w:hint="eastAsia" w:ascii="宋体" w:hAnsi="宋体"/>
                <w:sz w:val="18"/>
                <w:szCs w:val="18"/>
              </w:rPr>
            </w:pPr>
            <w:r>
              <w:rPr>
                <w:rFonts w:hint="eastAsia" w:ascii="宋体" w:hAnsi="宋体"/>
                <w:sz w:val="18"/>
                <w:szCs w:val="18"/>
              </w:rPr>
              <w:t>-</w:t>
            </w:r>
          </w:p>
        </w:tc>
        <w:tc>
          <w:tcPr>
            <w:tcW w:w="1293" w:type="dxa"/>
            <w:vAlign w:val="center"/>
          </w:tcPr>
          <w:p w14:paraId="5936B921">
            <w:pPr>
              <w:snapToGrid w:val="0"/>
              <w:jc w:val="center"/>
              <w:rPr>
                <w:rFonts w:hint="eastAsia" w:ascii="宋体" w:hAnsi="宋体"/>
                <w:sz w:val="18"/>
                <w:szCs w:val="18"/>
              </w:rPr>
            </w:pPr>
            <w:r>
              <w:rPr>
                <w:rFonts w:hint="eastAsia" w:ascii="宋体" w:hAnsi="宋体"/>
                <w:sz w:val="18"/>
                <w:szCs w:val="18"/>
              </w:rPr>
              <w:t>≤ 145</w:t>
            </w:r>
          </w:p>
        </w:tc>
        <w:tc>
          <w:tcPr>
            <w:tcW w:w="1294" w:type="dxa"/>
            <w:vAlign w:val="center"/>
          </w:tcPr>
          <w:p w14:paraId="236917C2">
            <w:pPr>
              <w:snapToGrid w:val="0"/>
              <w:jc w:val="center"/>
              <w:rPr>
                <w:rFonts w:hint="eastAsia" w:ascii="宋体" w:hAnsi="宋体"/>
                <w:sz w:val="18"/>
                <w:szCs w:val="18"/>
              </w:rPr>
            </w:pPr>
            <w:r>
              <w:rPr>
                <w:rFonts w:hint="eastAsia" w:ascii="宋体" w:hAnsi="宋体"/>
                <w:sz w:val="18"/>
                <w:szCs w:val="18"/>
              </w:rPr>
              <w:t>≤ 135</w:t>
            </w:r>
          </w:p>
        </w:tc>
      </w:tr>
      <w:tr w14:paraId="6EB20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42" w:type="dxa"/>
            <w:gridSpan w:val="8"/>
            <w:vAlign w:val="center"/>
          </w:tcPr>
          <w:p w14:paraId="3B3949DF">
            <w:pPr>
              <w:pStyle w:val="183"/>
              <w:numPr>
                <w:ilvl w:val="0"/>
                <w:numId w:val="49"/>
              </w:numPr>
              <w:snapToGrid w:val="0"/>
              <w:rPr>
                <w:rFonts w:hint="eastAsia" w:hAnsi="宋体"/>
              </w:rPr>
            </w:pPr>
            <w:r>
              <w:rPr>
                <w:rFonts w:hint="eastAsia" w:hAnsi="宋体"/>
              </w:rPr>
              <w:t>a为电炉容量，单位为吨；</w:t>
            </w:r>
            <w:r>
              <w:rPr>
                <w:rFonts w:hAnsi="宋体"/>
              </w:rPr>
              <w:t xml:space="preserve"> </w:t>
            </w:r>
            <w:r>
              <w:rPr>
                <w:rFonts w:hint="eastAsia" w:hAnsi="宋体"/>
              </w:rPr>
              <w:t>若电炉容量在两档之间，一律按低一档容量计算。</w:t>
            </w:r>
          </w:p>
          <w:p w14:paraId="1FD3BDCA">
            <w:pPr>
              <w:pStyle w:val="183"/>
              <w:numPr>
                <w:ilvl w:val="0"/>
                <w:numId w:val="49"/>
              </w:numPr>
              <w:snapToGrid w:val="0"/>
              <w:rPr>
                <w:rFonts w:hint="eastAsia" w:hAnsi="宋体"/>
              </w:rPr>
            </w:pPr>
            <w:r>
              <w:rPr>
                <w:rFonts w:hint="eastAsia" w:hAnsi="宋体"/>
              </w:rPr>
              <w:t>铝液温度每±10℃，吨金属液综合电耗限定值相应±3.5 kW</w:t>
            </w:r>
            <w:r>
              <w:rPr>
                <w:rFonts w:hint="default" w:ascii="Times New Roman" w:hAnsi="Times New Roman" w:cs="Times New Roman"/>
                <w:sz w:val="18"/>
                <w:szCs w:val="18"/>
              </w:rPr>
              <w:t>·</w:t>
            </w:r>
            <w:r>
              <w:rPr>
                <w:rFonts w:hint="eastAsia" w:hAnsi="宋体"/>
              </w:rPr>
              <w:t>h/t,燃气炉限定值相应±2.15 kgce/t。</w:t>
            </w:r>
          </w:p>
          <w:p w14:paraId="1924B6B1">
            <w:pPr>
              <w:pStyle w:val="183"/>
              <w:numPr>
                <w:ilvl w:val="0"/>
                <w:numId w:val="49"/>
              </w:numPr>
              <w:snapToGrid w:val="0"/>
              <w:rPr>
                <w:rFonts w:hint="eastAsia" w:hAnsi="宋体"/>
              </w:rPr>
            </w:pPr>
            <w:r>
              <w:rPr>
                <w:rFonts w:hint="eastAsia" w:hAnsi="宋体"/>
              </w:rPr>
              <w:t>准入值适用于工艺熔炼温度不超过790℃的感应电炉、电阻炉和燃气炉；熔化率小于0.6 t的燃气坩埚熔铝炉和投料全部为铝屑的燃气熔铝炉不进行吨金属液能耗考核。</w:t>
            </w:r>
          </w:p>
          <w:p w14:paraId="308162A4">
            <w:pPr>
              <w:pStyle w:val="183"/>
              <w:numPr>
                <w:ilvl w:val="0"/>
                <w:numId w:val="49"/>
              </w:numPr>
              <w:snapToGrid w:val="0"/>
              <w:rPr>
                <w:rFonts w:hint="eastAsia" w:hAnsi="宋体"/>
              </w:rPr>
            </w:pPr>
            <w:r>
              <w:rPr>
                <w:rFonts w:hint="eastAsia" w:hAnsi="宋体"/>
              </w:rPr>
              <w:t>铝液温度720℃。</w:t>
            </w:r>
          </w:p>
        </w:tc>
      </w:tr>
    </w:tbl>
    <w:p w14:paraId="3F8B5D44">
      <w:pPr>
        <w:pStyle w:val="108"/>
        <w:spacing w:before="156" w:after="156"/>
      </w:pPr>
      <w:bookmarkStart w:id="547" w:name="_Toc10897"/>
      <w:bookmarkStart w:id="548" w:name="_Toc175504977"/>
      <w:bookmarkStart w:id="549" w:name="_Toc5453"/>
      <w:bookmarkStart w:id="550" w:name="_Toc31674"/>
      <w:bookmarkStart w:id="551" w:name="_Toc483588222"/>
      <w:bookmarkStart w:id="552" w:name="_Toc492372640"/>
      <w:bookmarkStart w:id="553" w:name="_Toc483398318"/>
      <w:bookmarkStart w:id="554" w:name="_Toc496771325"/>
      <w:bookmarkStart w:id="555" w:name="_Toc483588758"/>
      <w:bookmarkStart w:id="556" w:name="_Toc502760529"/>
      <w:bookmarkStart w:id="557" w:name="_Toc496881062"/>
      <w:bookmarkStart w:id="558" w:name="_Toc492372494"/>
      <w:bookmarkStart w:id="559" w:name="_Toc483578729"/>
      <w:bookmarkStart w:id="560" w:name="_Toc175690963"/>
      <w:r>
        <w:rPr>
          <w:rFonts w:hint="eastAsia"/>
        </w:rPr>
        <w:t>铅酸蓄电池</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6085D809">
      <w:pPr>
        <w:pStyle w:val="68"/>
        <w:spacing w:before="156" w:after="156"/>
      </w:pPr>
      <w:r>
        <w:rPr>
          <w:rFonts w:hint="eastAsia"/>
        </w:rPr>
        <w:t>铅酸蓄电池单位产品综合能耗限定值和准入值</w:t>
      </w:r>
    </w:p>
    <w:p w14:paraId="09BDC569">
      <w:pPr>
        <w:pStyle w:val="59"/>
        <w:ind w:firstLine="420"/>
        <w:rPr>
          <w:rFonts w:hint="eastAsia" w:hAnsi="宋体"/>
        </w:rPr>
      </w:pPr>
      <w:r>
        <w:t>现有企业</w:t>
      </w:r>
      <w:r>
        <w:rPr>
          <w:rFonts w:hint="eastAsia" w:hAnsi="宋体" w:cs="黑体"/>
        </w:rPr>
        <w:t>铅酸蓄电池</w:t>
      </w:r>
      <w:r>
        <w:t>单位产品</w:t>
      </w:r>
      <w:r>
        <w:rPr>
          <w:rFonts w:hint="eastAsia"/>
        </w:rPr>
        <w:t>综合</w:t>
      </w:r>
      <w:r>
        <w:t>能耗限定值</w:t>
      </w:r>
      <w:r>
        <w:rPr>
          <w:rFonts w:hint="eastAsia"/>
        </w:rPr>
        <w:t>，新建企业、现有企业</w:t>
      </w:r>
      <w:r>
        <w:t>改扩建</w:t>
      </w:r>
      <w:r>
        <w:rPr>
          <w:rFonts w:hint="eastAsia"/>
        </w:rPr>
        <w:t>项目</w:t>
      </w:r>
      <w:r>
        <w:rPr>
          <w:rFonts w:hint="eastAsia" w:cs="黑体"/>
        </w:rPr>
        <w:t>铅酸蓄电池</w:t>
      </w:r>
      <w:r>
        <w:rPr>
          <w:rFonts w:ascii="F5" w:hAnsi="F5"/>
        </w:rPr>
        <w:t>单位产品</w:t>
      </w:r>
      <w:r>
        <w:rPr>
          <w:rFonts w:hint="eastAsia" w:ascii="F5" w:hAnsi="F5"/>
        </w:rPr>
        <w:t>综合</w:t>
      </w:r>
      <w:r>
        <w:rPr>
          <w:rFonts w:ascii="F5" w:hAnsi="F5"/>
        </w:rPr>
        <w:t>能耗准入值</w:t>
      </w:r>
      <w:r>
        <w:t>应符合</w:t>
      </w:r>
      <w:r>
        <w:rPr>
          <w:rFonts w:hAnsi="宋体"/>
        </w:rPr>
        <w:t>表</w:t>
      </w:r>
      <w:r>
        <w:rPr>
          <w:rFonts w:hint="eastAsia" w:hAnsi="宋体"/>
        </w:rPr>
        <w:t>29</w:t>
      </w:r>
      <w:r>
        <w:t>的</w:t>
      </w:r>
      <w:r>
        <w:rPr>
          <w:rFonts w:hint="eastAsia" w:hAnsi="宋体"/>
        </w:rPr>
        <w:t>规定。</w:t>
      </w:r>
    </w:p>
    <w:p w14:paraId="504B1573">
      <w:pPr>
        <w:pStyle w:val="115"/>
        <w:spacing w:before="156" w:after="156"/>
      </w:pPr>
      <w:r>
        <w:rPr>
          <w:rFonts w:hint="eastAsia"/>
        </w:rPr>
        <w:t>铅酸蓄电池单位产品综合能耗限定值和准入值</w:t>
      </w:r>
    </w:p>
    <w:tbl>
      <w:tblPr>
        <w:tblStyle w:val="28"/>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86"/>
        <w:gridCol w:w="2344"/>
        <w:gridCol w:w="2344"/>
      </w:tblGrid>
      <w:tr w14:paraId="58DC89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28" w:hRule="atLeast"/>
        </w:trPr>
        <w:tc>
          <w:tcPr>
            <w:tcW w:w="2500" w:type="pct"/>
            <w:vMerge w:val="restart"/>
            <w:tcBorders>
              <w:top w:val="single" w:color="auto" w:sz="8" w:space="0"/>
            </w:tcBorders>
            <w:shd w:val="clear" w:color="auto" w:fill="auto"/>
            <w:vAlign w:val="center"/>
          </w:tcPr>
          <w:p w14:paraId="6B82C17B">
            <w:pPr>
              <w:pStyle w:val="231"/>
              <w:snapToGrid w:val="0"/>
              <w:ind w:firstLine="360"/>
              <w:jc w:val="center"/>
              <w:rPr>
                <w:rFonts w:hint="eastAsia" w:hAnsi="宋体"/>
                <w:color w:val="auto"/>
                <w:sz w:val="18"/>
                <w:szCs w:val="18"/>
              </w:rPr>
            </w:pPr>
            <w:r>
              <w:rPr>
                <w:rFonts w:hint="eastAsia" w:hAnsi="宋体"/>
                <w:color w:val="auto"/>
                <w:sz w:val="18"/>
                <w:szCs w:val="18"/>
              </w:rPr>
              <w:t>种类</w:t>
            </w:r>
          </w:p>
        </w:tc>
        <w:tc>
          <w:tcPr>
            <w:tcW w:w="2500" w:type="pct"/>
            <w:gridSpan w:val="2"/>
            <w:tcBorders>
              <w:top w:val="single" w:color="auto" w:sz="8" w:space="0"/>
              <w:bottom w:val="single" w:color="auto" w:sz="8" w:space="0"/>
            </w:tcBorders>
            <w:shd w:val="clear" w:color="auto" w:fill="auto"/>
            <w:vAlign w:val="center"/>
          </w:tcPr>
          <w:p w14:paraId="12456A52">
            <w:pPr>
              <w:pStyle w:val="231"/>
              <w:snapToGrid w:val="0"/>
              <w:spacing w:line="240" w:lineRule="atLeast"/>
              <w:jc w:val="center"/>
              <w:rPr>
                <w:rFonts w:hint="eastAsia" w:hAnsi="宋体"/>
                <w:color w:val="auto"/>
                <w:sz w:val="18"/>
                <w:szCs w:val="18"/>
              </w:rPr>
            </w:pPr>
            <w:r>
              <w:rPr>
                <w:rFonts w:hint="eastAsia" w:hAnsi="宋体"/>
                <w:color w:val="auto"/>
                <w:sz w:val="18"/>
                <w:szCs w:val="18"/>
              </w:rPr>
              <w:t>单位产品综合能耗</w:t>
            </w:r>
          </w:p>
          <w:p w14:paraId="0C0C8F27">
            <w:pPr>
              <w:pStyle w:val="231"/>
              <w:snapToGrid w:val="0"/>
              <w:spacing w:line="240" w:lineRule="atLeast"/>
              <w:jc w:val="center"/>
              <w:rPr>
                <w:rFonts w:hint="eastAsia" w:hAnsi="宋体"/>
                <w:color w:val="auto"/>
                <w:sz w:val="18"/>
                <w:szCs w:val="18"/>
              </w:rPr>
            </w:pPr>
            <w:r>
              <w:rPr>
                <w:rFonts w:hAnsi="宋体"/>
                <w:color w:val="auto"/>
                <w:sz w:val="18"/>
                <w:szCs w:val="18"/>
              </w:rPr>
              <w:t>kgce/kVAh</w:t>
            </w:r>
          </w:p>
        </w:tc>
      </w:tr>
      <w:tr w14:paraId="6B4B1F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4" w:hRule="atLeast"/>
        </w:trPr>
        <w:tc>
          <w:tcPr>
            <w:tcW w:w="2500" w:type="pct"/>
            <w:vMerge w:val="continue"/>
            <w:tcBorders>
              <w:bottom w:val="single" w:color="auto" w:sz="8" w:space="0"/>
            </w:tcBorders>
            <w:shd w:val="clear" w:color="auto" w:fill="auto"/>
            <w:vAlign w:val="center"/>
          </w:tcPr>
          <w:p w14:paraId="1FA55E16">
            <w:pPr>
              <w:pStyle w:val="231"/>
              <w:snapToGrid w:val="0"/>
              <w:spacing w:line="240" w:lineRule="exact"/>
              <w:jc w:val="center"/>
              <w:rPr>
                <w:rFonts w:hint="eastAsia" w:hAnsi="宋体"/>
                <w:color w:val="auto"/>
                <w:sz w:val="18"/>
                <w:szCs w:val="18"/>
              </w:rPr>
            </w:pPr>
          </w:p>
        </w:tc>
        <w:tc>
          <w:tcPr>
            <w:tcW w:w="1250" w:type="pct"/>
            <w:tcBorders>
              <w:top w:val="single" w:color="auto" w:sz="8" w:space="0"/>
              <w:bottom w:val="single" w:color="auto" w:sz="8" w:space="0"/>
            </w:tcBorders>
            <w:shd w:val="clear" w:color="auto" w:fill="auto"/>
            <w:vAlign w:val="center"/>
          </w:tcPr>
          <w:p w14:paraId="261742EB">
            <w:pPr>
              <w:pStyle w:val="231"/>
              <w:snapToGrid w:val="0"/>
              <w:spacing w:line="240" w:lineRule="exact"/>
              <w:jc w:val="center"/>
              <w:rPr>
                <w:rFonts w:hint="eastAsia" w:hAnsi="宋体"/>
                <w:color w:val="auto"/>
                <w:sz w:val="18"/>
                <w:szCs w:val="18"/>
              </w:rPr>
            </w:pPr>
            <w:r>
              <w:rPr>
                <w:rFonts w:hint="eastAsia" w:hAnsi="宋体"/>
                <w:color w:val="auto"/>
                <w:sz w:val="18"/>
                <w:szCs w:val="18"/>
              </w:rPr>
              <w:t>限定值</w:t>
            </w:r>
          </w:p>
        </w:tc>
        <w:tc>
          <w:tcPr>
            <w:tcW w:w="1250" w:type="pct"/>
            <w:tcBorders>
              <w:top w:val="single" w:color="auto" w:sz="8" w:space="0"/>
              <w:bottom w:val="single" w:color="auto" w:sz="8" w:space="0"/>
            </w:tcBorders>
            <w:shd w:val="clear" w:color="auto" w:fill="auto"/>
            <w:vAlign w:val="center"/>
          </w:tcPr>
          <w:p w14:paraId="656EEB70">
            <w:pPr>
              <w:pStyle w:val="231"/>
              <w:snapToGrid w:val="0"/>
              <w:spacing w:line="240" w:lineRule="exact"/>
              <w:jc w:val="center"/>
              <w:rPr>
                <w:rFonts w:hint="eastAsia" w:hAnsi="宋体"/>
                <w:color w:val="auto"/>
                <w:sz w:val="18"/>
                <w:szCs w:val="18"/>
              </w:rPr>
            </w:pPr>
            <w:r>
              <w:rPr>
                <w:rFonts w:hint="eastAsia" w:hAnsi="宋体"/>
                <w:color w:val="auto"/>
                <w:sz w:val="18"/>
                <w:szCs w:val="18"/>
              </w:rPr>
              <w:t>准入值</w:t>
            </w:r>
          </w:p>
        </w:tc>
      </w:tr>
      <w:tr w14:paraId="2B0097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500" w:type="pct"/>
            <w:tcBorders>
              <w:top w:val="single" w:color="auto" w:sz="8" w:space="0"/>
            </w:tcBorders>
            <w:shd w:val="clear" w:color="auto" w:fill="auto"/>
            <w:vAlign w:val="center"/>
          </w:tcPr>
          <w:p w14:paraId="3BF5D6A2">
            <w:pPr>
              <w:pStyle w:val="231"/>
              <w:snapToGrid w:val="0"/>
              <w:jc w:val="center"/>
              <w:rPr>
                <w:rFonts w:hint="eastAsia" w:hAnsi="宋体"/>
                <w:color w:val="auto"/>
                <w:sz w:val="18"/>
                <w:szCs w:val="18"/>
              </w:rPr>
            </w:pPr>
            <w:r>
              <w:rPr>
                <w:rFonts w:hint="eastAsia" w:hAnsi="宋体"/>
                <w:color w:val="auto"/>
                <w:sz w:val="18"/>
                <w:szCs w:val="18"/>
              </w:rPr>
              <w:t>动力类铅酸蓄电池</w:t>
            </w:r>
          </w:p>
        </w:tc>
        <w:tc>
          <w:tcPr>
            <w:tcW w:w="1250" w:type="pct"/>
            <w:tcBorders>
              <w:top w:val="single" w:color="auto" w:sz="8" w:space="0"/>
            </w:tcBorders>
            <w:shd w:val="clear" w:color="auto" w:fill="auto"/>
            <w:vAlign w:val="center"/>
          </w:tcPr>
          <w:p w14:paraId="6137CDC1">
            <w:pPr>
              <w:pStyle w:val="231"/>
              <w:snapToGrid w:val="0"/>
              <w:jc w:val="center"/>
              <w:rPr>
                <w:rFonts w:hint="eastAsia" w:hAnsi="宋体"/>
                <w:color w:val="auto"/>
                <w:sz w:val="18"/>
                <w:szCs w:val="18"/>
              </w:rPr>
            </w:pPr>
            <w:r>
              <w:rPr>
                <w:rFonts w:hint="eastAsia" w:hAnsi="宋体"/>
                <w:color w:val="auto"/>
                <w:sz w:val="18"/>
                <w:szCs w:val="18"/>
              </w:rPr>
              <w:t xml:space="preserve">≤ </w:t>
            </w:r>
            <w:r>
              <w:rPr>
                <w:rFonts w:hAnsi="宋体"/>
                <w:color w:val="auto"/>
                <w:sz w:val="18"/>
                <w:szCs w:val="18"/>
              </w:rPr>
              <w:t>10.9</w:t>
            </w:r>
          </w:p>
        </w:tc>
        <w:tc>
          <w:tcPr>
            <w:tcW w:w="1250" w:type="pct"/>
            <w:tcBorders>
              <w:top w:val="single" w:color="auto" w:sz="8" w:space="0"/>
            </w:tcBorders>
            <w:shd w:val="clear" w:color="auto" w:fill="auto"/>
            <w:vAlign w:val="center"/>
          </w:tcPr>
          <w:p w14:paraId="34DD5B34">
            <w:pPr>
              <w:snapToGrid w:val="0"/>
              <w:spacing w:line="240" w:lineRule="auto"/>
              <w:jc w:val="center"/>
              <w:rPr>
                <w:rFonts w:hint="eastAsia" w:ascii="宋体" w:hAnsi="宋体"/>
                <w:sz w:val="18"/>
                <w:szCs w:val="18"/>
              </w:rPr>
            </w:pPr>
            <w:r>
              <w:rPr>
                <w:rFonts w:hint="eastAsia" w:ascii="宋体" w:hAnsi="宋体"/>
                <w:sz w:val="18"/>
                <w:szCs w:val="18"/>
              </w:rPr>
              <w:t>≤ 6.6</w:t>
            </w:r>
          </w:p>
        </w:tc>
      </w:tr>
      <w:tr w14:paraId="24DAF4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2500" w:type="pct"/>
            <w:shd w:val="clear" w:color="auto" w:fill="auto"/>
            <w:vAlign w:val="center"/>
          </w:tcPr>
          <w:p w14:paraId="50C30F3B">
            <w:pPr>
              <w:pStyle w:val="231"/>
              <w:snapToGrid w:val="0"/>
              <w:jc w:val="center"/>
              <w:rPr>
                <w:rFonts w:hint="eastAsia" w:hAnsi="宋体"/>
                <w:color w:val="auto"/>
                <w:sz w:val="18"/>
                <w:szCs w:val="18"/>
              </w:rPr>
            </w:pPr>
            <w:r>
              <w:rPr>
                <w:rFonts w:hint="eastAsia" w:hAnsi="宋体"/>
                <w:color w:val="auto"/>
                <w:sz w:val="18"/>
                <w:szCs w:val="18"/>
              </w:rPr>
              <w:t>熟极板</w:t>
            </w:r>
          </w:p>
        </w:tc>
        <w:tc>
          <w:tcPr>
            <w:tcW w:w="1250" w:type="pct"/>
            <w:shd w:val="clear" w:color="auto" w:fill="auto"/>
            <w:vAlign w:val="center"/>
          </w:tcPr>
          <w:p w14:paraId="662C32CF">
            <w:pPr>
              <w:pStyle w:val="231"/>
              <w:snapToGrid w:val="0"/>
              <w:jc w:val="center"/>
              <w:rPr>
                <w:rFonts w:hint="eastAsia" w:hAnsi="宋体"/>
                <w:color w:val="auto"/>
                <w:sz w:val="18"/>
                <w:szCs w:val="18"/>
              </w:rPr>
            </w:pPr>
            <w:r>
              <w:rPr>
                <w:rFonts w:hint="eastAsia" w:hAnsi="宋体"/>
                <w:color w:val="auto"/>
                <w:sz w:val="18"/>
                <w:szCs w:val="18"/>
              </w:rPr>
              <w:t xml:space="preserve">≤ </w:t>
            </w:r>
            <w:r>
              <w:rPr>
                <w:rFonts w:hAnsi="宋体"/>
                <w:color w:val="auto"/>
                <w:sz w:val="18"/>
                <w:szCs w:val="18"/>
              </w:rPr>
              <w:t>6</w:t>
            </w:r>
          </w:p>
        </w:tc>
        <w:tc>
          <w:tcPr>
            <w:tcW w:w="1250" w:type="pct"/>
            <w:shd w:val="clear" w:color="auto" w:fill="auto"/>
            <w:vAlign w:val="center"/>
          </w:tcPr>
          <w:p w14:paraId="48A60A03">
            <w:pPr>
              <w:snapToGrid w:val="0"/>
              <w:spacing w:line="240" w:lineRule="auto"/>
              <w:jc w:val="center"/>
              <w:rPr>
                <w:rFonts w:hint="eastAsia" w:ascii="宋体" w:hAnsi="宋体"/>
                <w:sz w:val="18"/>
                <w:szCs w:val="18"/>
              </w:rPr>
            </w:pPr>
            <w:r>
              <w:rPr>
                <w:rFonts w:hint="eastAsia" w:ascii="宋体" w:hAnsi="宋体"/>
                <w:sz w:val="18"/>
                <w:szCs w:val="18"/>
              </w:rPr>
              <w:t>≤ 4.1</w:t>
            </w:r>
          </w:p>
        </w:tc>
      </w:tr>
      <w:tr w14:paraId="69B5F0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000" w:type="pct"/>
            <w:gridSpan w:val="3"/>
            <w:tcBorders>
              <w:bottom w:val="single" w:color="auto" w:sz="8" w:space="0"/>
            </w:tcBorders>
            <w:shd w:val="clear" w:color="auto" w:fill="auto"/>
            <w:vAlign w:val="center"/>
          </w:tcPr>
          <w:p w14:paraId="7EE7684D">
            <w:pPr>
              <w:pStyle w:val="183"/>
              <w:numPr>
                <w:ilvl w:val="0"/>
                <w:numId w:val="50"/>
              </w:numPr>
              <w:rPr>
                <w:rFonts w:hint="eastAsia" w:hAnsi="宋体"/>
              </w:rPr>
            </w:pPr>
            <w:r>
              <w:rPr>
                <w:rFonts w:hAnsi="宋体"/>
              </w:rPr>
              <w:t>电力折标准煤系数</w:t>
            </w:r>
            <w:r>
              <w:rPr>
                <w:rFonts w:hint="eastAsia" w:hAnsi="宋体"/>
              </w:rPr>
              <w:t>采用</w:t>
            </w:r>
            <w:r>
              <w:rPr>
                <w:rFonts w:hAnsi="宋体"/>
              </w:rPr>
              <w:t>0.3</w:t>
            </w:r>
            <w:r>
              <w:rPr>
                <w:rFonts w:hint="eastAsia" w:hAnsi="宋体"/>
              </w:rPr>
              <w:t>3</w:t>
            </w:r>
            <w:r>
              <w:rPr>
                <w:rFonts w:hAnsi="宋体"/>
              </w:rPr>
              <w:t xml:space="preserve"> kgce/kW</w:t>
            </w:r>
            <w:r>
              <w:rPr>
                <w:rFonts w:hint="default" w:ascii="Times New Roman" w:hAnsi="Times New Roman" w:cs="Times New Roman"/>
                <w:sz w:val="18"/>
                <w:szCs w:val="18"/>
              </w:rPr>
              <w:t>·</w:t>
            </w:r>
            <w:r>
              <w:rPr>
                <w:rFonts w:hAnsi="宋体"/>
              </w:rPr>
              <w:t>h</w:t>
            </w:r>
            <w:r>
              <w:rPr>
                <w:rFonts w:hint="eastAsia" w:hAnsi="宋体"/>
              </w:rPr>
              <w:t>。</w:t>
            </w:r>
          </w:p>
          <w:p w14:paraId="0E994B6F">
            <w:pPr>
              <w:pStyle w:val="183"/>
              <w:rPr>
                <w:rFonts w:hint="eastAsia" w:hAnsi="宋体"/>
              </w:rPr>
            </w:pPr>
            <w:r>
              <w:rPr>
                <w:rFonts w:hint="eastAsia" w:hAnsi="宋体"/>
              </w:rPr>
              <w:t>耗能工质按相应的能源等价值折算，新水折标准煤系数采用0.0857</w:t>
            </w:r>
            <w:r>
              <w:rPr>
                <w:rFonts w:hAnsi="宋体"/>
              </w:rPr>
              <w:t xml:space="preserve"> </w:t>
            </w:r>
            <w:r>
              <w:rPr>
                <w:rFonts w:hint="eastAsia" w:hAnsi="宋体"/>
              </w:rPr>
              <w:t>kgce/t。</w:t>
            </w:r>
          </w:p>
          <w:p w14:paraId="29EFA5BC">
            <w:pPr>
              <w:pStyle w:val="183"/>
              <w:rPr>
                <w:rFonts w:hint="eastAsia" w:hAnsi="宋体"/>
              </w:rPr>
            </w:pPr>
            <w:r>
              <w:rPr>
                <w:rFonts w:hint="eastAsia" w:hAnsi="宋体"/>
              </w:rPr>
              <w:t>外购极板以熟极板限定值作为折算系数计入综合能耗。</w:t>
            </w:r>
          </w:p>
        </w:tc>
      </w:tr>
    </w:tbl>
    <w:p w14:paraId="03E83620">
      <w:pPr>
        <w:pStyle w:val="108"/>
        <w:spacing w:before="156" w:after="156"/>
      </w:pPr>
      <w:bookmarkStart w:id="561" w:name="_Toc6295"/>
      <w:bookmarkStart w:id="562" w:name="_Toc5764"/>
      <w:bookmarkStart w:id="563" w:name="_Toc7862"/>
      <w:bookmarkStart w:id="564" w:name="_Toc175690964"/>
      <w:bookmarkStart w:id="565" w:name="_Toc175504978"/>
      <w:bookmarkStart w:id="566" w:name="_Toc502760530"/>
      <w:r>
        <w:rPr>
          <w:rFonts w:hint="eastAsia"/>
        </w:rPr>
        <w:t>印制电路板</w:t>
      </w:r>
      <w:bookmarkEnd w:id="561"/>
      <w:bookmarkEnd w:id="562"/>
      <w:bookmarkEnd w:id="563"/>
      <w:bookmarkEnd w:id="564"/>
      <w:bookmarkEnd w:id="565"/>
      <w:bookmarkEnd w:id="566"/>
    </w:p>
    <w:p w14:paraId="7E71196D">
      <w:pPr>
        <w:pStyle w:val="68"/>
        <w:spacing w:before="156" w:after="156"/>
      </w:pPr>
      <w:r>
        <w:rPr>
          <w:rFonts w:hint="eastAsia"/>
        </w:rPr>
        <w:t>适用对象</w:t>
      </w:r>
    </w:p>
    <w:p w14:paraId="53E96674">
      <w:pPr>
        <w:pStyle w:val="59"/>
        <w:ind w:firstLine="420"/>
      </w:pPr>
      <w:r>
        <w:rPr>
          <w:rFonts w:hint="eastAsia"/>
        </w:rPr>
        <w:t>适用于刚性传统印制电路版（传统 PCB 板）、刚性高密度互连印制电路板（HDI 板）制造企</w:t>
      </w:r>
      <w:r>
        <w:t>业</w:t>
      </w:r>
      <w:r>
        <w:rPr>
          <w:rFonts w:hint="eastAsia"/>
        </w:rPr>
        <w:t>单位产品</w:t>
      </w:r>
      <w:r>
        <w:t>能耗的计算、考核，以及对新建、扩建项目的能耗控制。</w:t>
      </w:r>
    </w:p>
    <w:p w14:paraId="3C0C53B9">
      <w:pPr>
        <w:pStyle w:val="68"/>
        <w:spacing w:before="156" w:after="156"/>
      </w:pPr>
      <w:r>
        <w:rPr>
          <w:rFonts w:hint="eastAsia"/>
        </w:rPr>
        <w:t>印制电路板单位产品综合能耗限定值和准入值</w:t>
      </w:r>
    </w:p>
    <w:p w14:paraId="3FF4A30B">
      <w:pPr>
        <w:pStyle w:val="59"/>
        <w:ind w:firstLine="420"/>
      </w:pPr>
      <w:r>
        <w:rPr>
          <w:rFonts w:hint="eastAsia"/>
        </w:rPr>
        <w:t>现有企业印制电路板制造单位产品综合能耗限定值，</w:t>
      </w:r>
      <w:r>
        <w:rPr>
          <w:rFonts w:hint="eastAsia" w:hAnsi="宋体"/>
        </w:rPr>
        <w:t>新建企业、现有企业</w:t>
      </w:r>
      <w:r>
        <w:rPr>
          <w:rFonts w:hAnsi="宋体"/>
        </w:rPr>
        <w:t>改扩建</w:t>
      </w:r>
      <w:r>
        <w:rPr>
          <w:rFonts w:hint="eastAsia" w:hAnsi="宋体"/>
        </w:rPr>
        <w:t>项目</w:t>
      </w:r>
      <w:r>
        <w:rPr>
          <w:rFonts w:hint="eastAsia"/>
        </w:rPr>
        <w:t>印刷电路板单位产品综合能耗准入值应符合表30的规定。</w:t>
      </w:r>
    </w:p>
    <w:p w14:paraId="271FB7BC">
      <w:pPr>
        <w:pStyle w:val="115"/>
        <w:spacing w:before="156" w:after="156"/>
      </w:pPr>
      <w:r>
        <w:rPr>
          <w:rFonts w:hint="eastAsia"/>
        </w:rPr>
        <w:t>印制电路板单位产品能耗限定值和准入值</w:t>
      </w:r>
    </w:p>
    <w:tbl>
      <w:tblPr>
        <w:tblStyle w:val="28"/>
        <w:tblW w:w="963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4816"/>
        <w:gridCol w:w="2407"/>
        <w:gridCol w:w="2407"/>
      </w:tblGrid>
      <w:tr w14:paraId="4298C0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02" w:hRule="atLeast"/>
          <w:jc w:val="center"/>
        </w:trPr>
        <w:tc>
          <w:tcPr>
            <w:tcW w:w="4816" w:type="dxa"/>
            <w:vMerge w:val="restart"/>
            <w:tcBorders>
              <w:top w:val="single" w:color="auto" w:sz="8" w:space="0"/>
            </w:tcBorders>
            <w:shd w:val="clear" w:color="auto" w:fill="auto"/>
            <w:vAlign w:val="center"/>
          </w:tcPr>
          <w:p w14:paraId="06D87FDE">
            <w:pPr>
              <w:spacing w:line="240" w:lineRule="auto"/>
              <w:jc w:val="center"/>
              <w:rPr>
                <w:rFonts w:hint="eastAsia" w:ascii="宋体" w:hAnsi="宋体"/>
                <w:spacing w:val="20"/>
                <w:sz w:val="18"/>
                <w:szCs w:val="18"/>
              </w:rPr>
            </w:pPr>
            <w:r>
              <w:rPr>
                <w:rFonts w:hint="eastAsia" w:ascii="宋体" w:hAnsi="宋体"/>
                <w:spacing w:val="20"/>
                <w:sz w:val="18"/>
                <w:szCs w:val="18"/>
              </w:rPr>
              <w:t>项目</w:t>
            </w:r>
          </w:p>
        </w:tc>
        <w:tc>
          <w:tcPr>
            <w:tcW w:w="4814" w:type="dxa"/>
            <w:gridSpan w:val="2"/>
            <w:tcBorders>
              <w:top w:val="single" w:color="auto" w:sz="8" w:space="0"/>
              <w:bottom w:val="single" w:color="auto" w:sz="8" w:space="0"/>
            </w:tcBorders>
            <w:shd w:val="clear" w:color="auto" w:fill="auto"/>
            <w:vAlign w:val="center"/>
          </w:tcPr>
          <w:p w14:paraId="3AAE0F96">
            <w:pPr>
              <w:spacing w:line="240" w:lineRule="auto"/>
              <w:jc w:val="center"/>
              <w:rPr>
                <w:rFonts w:hint="eastAsia" w:ascii="宋体" w:hAnsi="宋体"/>
                <w:spacing w:val="20"/>
                <w:sz w:val="18"/>
                <w:szCs w:val="18"/>
              </w:rPr>
            </w:pPr>
            <w:r>
              <w:rPr>
                <w:rFonts w:hint="eastAsia" w:ascii="宋体" w:hAnsi="宋体"/>
                <w:sz w:val="18"/>
                <w:szCs w:val="18"/>
              </w:rPr>
              <w:t>单位产品综合能耗（</w:t>
            </w:r>
            <w:r>
              <w:rPr>
                <w:rFonts w:ascii="宋体" w:hAnsi="宋体"/>
                <w:sz w:val="18"/>
                <w:szCs w:val="18"/>
              </w:rPr>
              <w:t>kgce</w:t>
            </w:r>
            <w:r>
              <w:rPr>
                <w:rFonts w:hint="eastAsia" w:ascii="宋体" w:hAnsi="宋体"/>
                <w:sz w:val="18"/>
                <w:szCs w:val="18"/>
              </w:rPr>
              <w:t>/m</w:t>
            </w:r>
            <w:r>
              <w:rPr>
                <w:rFonts w:hint="eastAsia" w:ascii="宋体" w:hAnsi="宋体"/>
                <w:sz w:val="18"/>
                <w:szCs w:val="18"/>
                <w:vertAlign w:val="superscript"/>
              </w:rPr>
              <w:t>2</w:t>
            </w:r>
            <w:r>
              <w:rPr>
                <w:rFonts w:hint="eastAsia" w:ascii="宋体" w:hAnsi="宋体"/>
                <w:sz w:val="18"/>
                <w:szCs w:val="18"/>
              </w:rPr>
              <w:t>）</w:t>
            </w:r>
          </w:p>
        </w:tc>
      </w:tr>
      <w:tr w14:paraId="0EB811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02" w:hRule="atLeast"/>
          <w:jc w:val="center"/>
        </w:trPr>
        <w:tc>
          <w:tcPr>
            <w:tcW w:w="4816" w:type="dxa"/>
            <w:vMerge w:val="continue"/>
            <w:tcBorders>
              <w:bottom w:val="single" w:color="auto" w:sz="8" w:space="0"/>
            </w:tcBorders>
            <w:shd w:val="clear" w:color="auto" w:fill="auto"/>
            <w:vAlign w:val="center"/>
          </w:tcPr>
          <w:p w14:paraId="7912C5D5">
            <w:pPr>
              <w:spacing w:line="240" w:lineRule="auto"/>
              <w:jc w:val="center"/>
            </w:pPr>
          </w:p>
        </w:tc>
        <w:tc>
          <w:tcPr>
            <w:tcW w:w="2407" w:type="dxa"/>
            <w:tcBorders>
              <w:top w:val="single" w:color="auto" w:sz="8" w:space="0"/>
              <w:bottom w:val="single" w:color="auto" w:sz="8" w:space="0"/>
            </w:tcBorders>
            <w:shd w:val="clear" w:color="auto" w:fill="auto"/>
            <w:vAlign w:val="center"/>
          </w:tcPr>
          <w:p w14:paraId="603C83FF">
            <w:pPr>
              <w:spacing w:line="240" w:lineRule="auto"/>
              <w:jc w:val="center"/>
            </w:pPr>
            <w:r>
              <w:rPr>
                <w:rFonts w:hint="eastAsia" w:ascii="宋体" w:hAnsi="宋体"/>
                <w:sz w:val="18"/>
                <w:szCs w:val="18"/>
              </w:rPr>
              <w:t>限定值</w:t>
            </w:r>
          </w:p>
        </w:tc>
        <w:tc>
          <w:tcPr>
            <w:tcW w:w="2407" w:type="dxa"/>
            <w:tcBorders>
              <w:top w:val="single" w:color="auto" w:sz="8" w:space="0"/>
              <w:bottom w:val="single" w:color="auto" w:sz="8" w:space="0"/>
            </w:tcBorders>
            <w:shd w:val="clear" w:color="auto" w:fill="auto"/>
            <w:vAlign w:val="center"/>
          </w:tcPr>
          <w:p w14:paraId="0CA0C527">
            <w:pPr>
              <w:spacing w:line="240" w:lineRule="auto"/>
              <w:jc w:val="center"/>
              <w:rPr>
                <w:rFonts w:hint="eastAsia" w:ascii="宋体" w:hAnsi="宋体"/>
                <w:spacing w:val="20"/>
                <w:sz w:val="18"/>
                <w:szCs w:val="18"/>
              </w:rPr>
            </w:pPr>
            <w:r>
              <w:rPr>
                <w:rFonts w:hint="eastAsia" w:ascii="宋体" w:hAnsi="宋体"/>
                <w:spacing w:val="20"/>
                <w:sz w:val="18"/>
                <w:szCs w:val="18"/>
              </w:rPr>
              <w:t>准入值</w:t>
            </w:r>
          </w:p>
        </w:tc>
      </w:tr>
      <w:tr w14:paraId="563017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4816" w:type="dxa"/>
            <w:tcBorders>
              <w:top w:val="single" w:color="auto" w:sz="8" w:space="0"/>
            </w:tcBorders>
            <w:shd w:val="clear" w:color="auto" w:fill="auto"/>
            <w:vAlign w:val="center"/>
          </w:tcPr>
          <w:p w14:paraId="468EEA5E">
            <w:pPr>
              <w:spacing w:line="240" w:lineRule="auto"/>
              <w:jc w:val="center"/>
              <w:rPr>
                <w:rFonts w:hint="eastAsia" w:ascii="宋体" w:hAnsi="宋体"/>
                <w:sz w:val="18"/>
                <w:szCs w:val="18"/>
              </w:rPr>
            </w:pPr>
            <w:r>
              <w:rPr>
                <w:rFonts w:hint="eastAsia" w:ascii="宋体" w:hAnsi="宋体"/>
                <w:sz w:val="18"/>
                <w:szCs w:val="18"/>
              </w:rPr>
              <w:t>印制电路板</w:t>
            </w:r>
          </w:p>
        </w:tc>
        <w:tc>
          <w:tcPr>
            <w:tcW w:w="2407" w:type="dxa"/>
            <w:tcBorders>
              <w:top w:val="single" w:color="auto" w:sz="8" w:space="0"/>
            </w:tcBorders>
            <w:shd w:val="clear" w:color="auto" w:fill="auto"/>
            <w:vAlign w:val="center"/>
          </w:tcPr>
          <w:p w14:paraId="73C1E147">
            <w:pPr>
              <w:spacing w:line="240" w:lineRule="auto"/>
              <w:jc w:val="center"/>
              <w:rPr>
                <w:rFonts w:hint="eastAsia" w:ascii="宋体" w:hAnsi="宋体"/>
                <w:sz w:val="18"/>
                <w:szCs w:val="18"/>
              </w:rPr>
            </w:pPr>
            <w:r>
              <w:rPr>
                <w:rFonts w:hint="eastAsia" w:ascii="宋体" w:hAnsi="宋体"/>
                <w:sz w:val="18"/>
                <w:szCs w:val="18"/>
              </w:rPr>
              <w:t>≤ 26</w:t>
            </w:r>
          </w:p>
        </w:tc>
        <w:tc>
          <w:tcPr>
            <w:tcW w:w="2407" w:type="dxa"/>
            <w:tcBorders>
              <w:top w:val="single" w:color="auto" w:sz="8" w:space="0"/>
            </w:tcBorders>
            <w:shd w:val="clear" w:color="auto" w:fill="auto"/>
            <w:vAlign w:val="center"/>
          </w:tcPr>
          <w:p w14:paraId="6FEC456B">
            <w:pPr>
              <w:spacing w:line="240" w:lineRule="auto"/>
              <w:jc w:val="center"/>
              <w:rPr>
                <w:rFonts w:hint="eastAsia" w:ascii="宋体" w:hAnsi="宋体"/>
                <w:spacing w:val="20"/>
                <w:sz w:val="18"/>
                <w:szCs w:val="18"/>
              </w:rPr>
            </w:pPr>
            <w:r>
              <w:rPr>
                <w:rFonts w:hint="eastAsia" w:ascii="宋体" w:hAnsi="宋体"/>
                <w:sz w:val="18"/>
                <w:szCs w:val="18"/>
              </w:rPr>
              <w:t xml:space="preserve">≤ </w:t>
            </w:r>
            <w:r>
              <w:rPr>
                <w:rFonts w:hint="eastAsia" w:ascii="宋体" w:hAnsi="宋体"/>
                <w:spacing w:val="20"/>
                <w:sz w:val="18"/>
                <w:szCs w:val="18"/>
              </w:rPr>
              <w:t>22</w:t>
            </w:r>
          </w:p>
        </w:tc>
      </w:tr>
      <w:tr w14:paraId="226592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9630" w:type="dxa"/>
            <w:gridSpan w:val="3"/>
            <w:shd w:val="clear" w:color="auto" w:fill="auto"/>
            <w:vAlign w:val="center"/>
          </w:tcPr>
          <w:p w14:paraId="0E14A046">
            <w:pPr>
              <w:pStyle w:val="183"/>
              <w:numPr>
                <w:ilvl w:val="0"/>
                <w:numId w:val="51"/>
              </w:numPr>
              <w:rPr>
                <w:rFonts w:hint="eastAsia" w:hAnsi="宋体"/>
              </w:rPr>
            </w:pPr>
            <w:r>
              <w:rPr>
                <w:rFonts w:hint="eastAsia" w:hAnsi="宋体"/>
              </w:rPr>
              <w:t>电力折算标准煤系数按等价值0.35</w:t>
            </w:r>
            <w:r>
              <w:rPr>
                <w:rFonts w:hAnsi="宋体"/>
              </w:rPr>
              <w:t xml:space="preserve"> </w:t>
            </w:r>
            <w:r>
              <w:rPr>
                <w:rFonts w:hint="eastAsia" w:hAnsi="宋体"/>
              </w:rPr>
              <w:t>kgce/ kW</w:t>
            </w:r>
            <w:r>
              <w:rPr>
                <w:rFonts w:hint="default" w:ascii="Times New Roman" w:hAnsi="Times New Roman" w:cs="Times New Roman"/>
                <w:sz w:val="18"/>
                <w:szCs w:val="18"/>
              </w:rPr>
              <w:t>·</w:t>
            </w:r>
            <w:r>
              <w:rPr>
                <w:rFonts w:hint="eastAsia" w:hAnsi="宋体"/>
              </w:rPr>
              <w:t>h计算。</w:t>
            </w:r>
          </w:p>
          <w:p w14:paraId="485557B9">
            <w:pPr>
              <w:pStyle w:val="183"/>
              <w:numPr>
                <w:ilvl w:val="0"/>
                <w:numId w:val="51"/>
              </w:numPr>
              <w:rPr>
                <w:rFonts w:hint="eastAsia" w:hAnsi="宋体"/>
                <w:spacing w:val="20"/>
              </w:rPr>
            </w:pPr>
            <w:r>
              <w:rPr>
                <w:rFonts w:hint="eastAsia" w:hAnsi="宋体"/>
              </w:rPr>
              <w:t>热力折算标准煤系数按照等价值计算，折标系数为根据蒸汽压力温度查焓值/（29307×锅炉效率） kgce/kg。</w:t>
            </w:r>
          </w:p>
          <w:p w14:paraId="0D133A30">
            <w:pPr>
              <w:pStyle w:val="183"/>
              <w:numPr>
                <w:ilvl w:val="0"/>
                <w:numId w:val="51"/>
              </w:numPr>
              <w:rPr>
                <w:rFonts w:hint="eastAsia" w:hAnsi="宋体"/>
                <w:spacing w:val="20"/>
              </w:rPr>
            </w:pPr>
            <w:r>
              <w:rPr>
                <w:rFonts w:hint="eastAsia" w:hAnsi="宋体"/>
              </w:rPr>
              <w:t>新水折算标准煤系数按0.0857</w:t>
            </w:r>
            <w:r>
              <w:rPr>
                <w:rFonts w:hAnsi="宋体"/>
              </w:rPr>
              <w:t xml:space="preserve"> </w:t>
            </w:r>
            <w:r>
              <w:rPr>
                <w:rFonts w:hint="eastAsia" w:hAnsi="宋体"/>
              </w:rPr>
              <w:t>kgce/t计算。</w:t>
            </w:r>
          </w:p>
          <w:p w14:paraId="35ABFF15">
            <w:pPr>
              <w:pStyle w:val="183"/>
              <w:numPr>
                <w:ilvl w:val="0"/>
                <w:numId w:val="51"/>
              </w:numPr>
              <w:rPr>
                <w:rFonts w:hint="eastAsia" w:hAnsi="宋体"/>
                <w:spacing w:val="20"/>
              </w:rPr>
            </w:pPr>
            <w:r>
              <w:rPr>
                <w:rFonts w:hint="eastAsia" w:hAnsi="宋体"/>
                <w:spacing w:val="20"/>
              </w:rPr>
              <w:t>天然气</w:t>
            </w:r>
            <w:r>
              <w:rPr>
                <w:rFonts w:hint="eastAsia" w:hAnsi="宋体"/>
              </w:rPr>
              <w:t>折算标准煤系数按1.2143</w:t>
            </w:r>
            <w:r>
              <w:rPr>
                <w:rFonts w:hAnsi="宋体"/>
              </w:rPr>
              <w:t xml:space="preserve"> </w:t>
            </w:r>
            <w:r>
              <w:rPr>
                <w:rFonts w:hint="eastAsia" w:hAnsi="宋体"/>
              </w:rPr>
              <w:t>kgce/m</w:t>
            </w:r>
            <w:r>
              <w:rPr>
                <w:rFonts w:hint="eastAsia" w:hAnsi="宋体"/>
                <w:vertAlign w:val="superscript"/>
              </w:rPr>
              <w:t>3</w:t>
            </w:r>
            <w:r>
              <w:rPr>
                <w:rFonts w:hint="eastAsia" w:hAnsi="宋体"/>
              </w:rPr>
              <w:t>计算。</w:t>
            </w:r>
          </w:p>
        </w:tc>
      </w:tr>
    </w:tbl>
    <w:p w14:paraId="2DB542AF">
      <w:pPr>
        <w:pStyle w:val="108"/>
        <w:spacing w:before="156" w:after="156"/>
      </w:pPr>
      <w:bookmarkStart w:id="567" w:name="_Toc492372497"/>
      <w:bookmarkStart w:id="568" w:name="_Toc13240"/>
      <w:bookmarkStart w:id="569" w:name="_Toc502760532"/>
      <w:bookmarkStart w:id="570" w:name="_Toc175690965"/>
      <w:bookmarkStart w:id="571" w:name="_Toc496771328"/>
      <w:bookmarkStart w:id="572" w:name="_Toc175504979"/>
      <w:bookmarkStart w:id="573" w:name="_Toc16760"/>
      <w:bookmarkStart w:id="574" w:name="_Toc496881065"/>
      <w:bookmarkStart w:id="575" w:name="_Toc492372643"/>
      <w:bookmarkStart w:id="576" w:name="_Toc22805"/>
      <w:r>
        <w:rPr>
          <w:rFonts w:hint="eastAsia"/>
        </w:rPr>
        <w:t>自来水（制水）</w:t>
      </w:r>
      <w:bookmarkEnd w:id="567"/>
      <w:bookmarkEnd w:id="568"/>
      <w:bookmarkEnd w:id="569"/>
      <w:bookmarkEnd w:id="570"/>
      <w:bookmarkEnd w:id="571"/>
      <w:bookmarkEnd w:id="572"/>
      <w:bookmarkEnd w:id="573"/>
      <w:bookmarkEnd w:id="574"/>
      <w:bookmarkEnd w:id="575"/>
      <w:bookmarkEnd w:id="576"/>
    </w:p>
    <w:p w14:paraId="1DCC0446">
      <w:pPr>
        <w:pStyle w:val="68"/>
        <w:spacing w:before="156" w:after="156"/>
      </w:pPr>
      <w:bookmarkStart w:id="577" w:name="_Toc482862505"/>
      <w:bookmarkEnd w:id="577"/>
      <w:r>
        <w:rPr>
          <w:rFonts w:hint="eastAsia"/>
        </w:rPr>
        <w:t>适用对象</w:t>
      </w:r>
    </w:p>
    <w:p w14:paraId="36CCBCF5">
      <w:pPr>
        <w:pStyle w:val="59"/>
        <w:ind w:firstLine="420"/>
      </w:pPr>
      <w:r>
        <w:rPr>
          <w:rFonts w:hint="eastAsia"/>
        </w:rPr>
        <w:t>适用于自来水公司（水务公司）、自来水总公司（水务集团公司）下属各水厂等自来水生产</w:t>
      </w:r>
      <w:r>
        <w:t>企业</w:t>
      </w:r>
      <w:r>
        <w:rPr>
          <w:rFonts w:hint="eastAsia"/>
        </w:rPr>
        <w:t>单位产品</w:t>
      </w:r>
      <w:r>
        <w:t>能源消耗量的计算、控制和考核、评价。</w:t>
      </w:r>
    </w:p>
    <w:p w14:paraId="6779E070">
      <w:pPr>
        <w:pStyle w:val="68"/>
        <w:spacing w:before="156" w:after="156"/>
      </w:pPr>
      <w:r>
        <w:rPr>
          <w:rFonts w:hint="eastAsia"/>
        </w:rPr>
        <w:t>自来水（制水）单位产量可比综合电耗限定值和准入值</w:t>
      </w:r>
    </w:p>
    <w:p w14:paraId="49A415EF">
      <w:pPr>
        <w:pStyle w:val="59"/>
        <w:ind w:firstLine="420"/>
      </w:pPr>
      <w:r>
        <w:rPr>
          <w:rFonts w:hint="eastAsia"/>
        </w:rPr>
        <w:t>现有企业自来水（制水）单位产量可比综合电耗限定值，新建企业、现有企业</w:t>
      </w:r>
      <w:r>
        <w:t>改扩建</w:t>
      </w:r>
      <w:r>
        <w:rPr>
          <w:rFonts w:hint="eastAsia"/>
        </w:rPr>
        <w:t>项目自来水（制水）单位产量可比综合电耗准入值应符合表31的规定。</w:t>
      </w:r>
    </w:p>
    <w:p w14:paraId="36EA4538">
      <w:pPr>
        <w:pStyle w:val="115"/>
        <w:spacing w:before="156" w:after="156"/>
      </w:pPr>
      <w:r>
        <w:rPr>
          <w:rFonts w:hint="eastAsia"/>
        </w:rPr>
        <w:t>自来水（制水）单位产量可比综合电耗限定值和准入值</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507"/>
        <w:gridCol w:w="3410"/>
        <w:gridCol w:w="3411"/>
      </w:tblGrid>
      <w:tr w14:paraId="2D5894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02" w:hRule="atLeast"/>
          <w:jc w:val="center"/>
        </w:trPr>
        <w:tc>
          <w:tcPr>
            <w:tcW w:w="2507" w:type="dxa"/>
            <w:vMerge w:val="restart"/>
            <w:tcBorders>
              <w:top w:val="single" w:color="auto" w:sz="8" w:space="0"/>
            </w:tcBorders>
            <w:shd w:val="clear" w:color="auto" w:fill="auto"/>
            <w:vAlign w:val="center"/>
          </w:tcPr>
          <w:p w14:paraId="546E558D">
            <w:pPr>
              <w:pStyle w:val="240"/>
              <w:jc w:val="center"/>
              <w:rPr>
                <w:rFonts w:hint="eastAsia" w:ascii="宋体" w:hAnsi="宋体"/>
                <w:sz w:val="18"/>
                <w:szCs w:val="18"/>
              </w:rPr>
            </w:pPr>
            <w:r>
              <w:rPr>
                <w:rFonts w:hint="eastAsia" w:ascii="宋体" w:hAnsi="宋体"/>
                <w:sz w:val="18"/>
                <w:szCs w:val="18"/>
              </w:rPr>
              <w:t>类别</w:t>
            </w:r>
          </w:p>
        </w:tc>
        <w:tc>
          <w:tcPr>
            <w:tcW w:w="6821" w:type="dxa"/>
            <w:gridSpan w:val="2"/>
            <w:tcBorders>
              <w:top w:val="single" w:color="auto" w:sz="8" w:space="0"/>
              <w:bottom w:val="single" w:color="auto" w:sz="8" w:space="0"/>
            </w:tcBorders>
            <w:shd w:val="clear" w:color="auto" w:fill="auto"/>
            <w:vAlign w:val="center"/>
          </w:tcPr>
          <w:p w14:paraId="27D4E4C1">
            <w:pPr>
              <w:pStyle w:val="240"/>
              <w:jc w:val="center"/>
              <w:rPr>
                <w:rFonts w:hint="eastAsia" w:ascii="宋体" w:hAnsi="宋体"/>
                <w:sz w:val="18"/>
                <w:szCs w:val="18"/>
              </w:rPr>
            </w:pPr>
            <w:r>
              <w:rPr>
                <w:rFonts w:ascii="宋体" w:hAnsi="宋体"/>
                <w:sz w:val="18"/>
                <w:szCs w:val="18"/>
              </w:rPr>
              <w:t>单位产</w:t>
            </w:r>
            <w:r>
              <w:rPr>
                <w:rFonts w:hint="eastAsia" w:ascii="宋体" w:hAnsi="宋体"/>
                <w:sz w:val="18"/>
                <w:szCs w:val="18"/>
              </w:rPr>
              <w:t>量</w:t>
            </w:r>
            <w:r>
              <w:rPr>
                <w:rFonts w:ascii="宋体" w:hAnsi="宋体"/>
                <w:sz w:val="18"/>
                <w:szCs w:val="18"/>
              </w:rPr>
              <w:t>可比综合电耗</w:t>
            </w:r>
            <w:r>
              <w:rPr>
                <w:rFonts w:hint="eastAsia" w:ascii="宋体" w:hAnsi="宋体"/>
                <w:sz w:val="18"/>
                <w:szCs w:val="18"/>
              </w:rPr>
              <w:t>（</w:t>
            </w:r>
            <w:r>
              <w:rPr>
                <w:rFonts w:ascii="宋体" w:hAnsi="宋体"/>
                <w:sz w:val="18"/>
                <w:szCs w:val="18"/>
              </w:rPr>
              <w:t>kW</w:t>
            </w:r>
            <w:r>
              <w:rPr>
                <w:rFonts w:hint="default" w:ascii="Times New Roman" w:hAnsi="Times New Roman" w:cs="Times New Roman"/>
                <w:sz w:val="18"/>
                <w:szCs w:val="18"/>
              </w:rPr>
              <w:t>·</w:t>
            </w:r>
            <w:r>
              <w:rPr>
                <w:rFonts w:ascii="宋体" w:hAnsi="宋体"/>
                <w:sz w:val="18"/>
                <w:szCs w:val="18"/>
              </w:rPr>
              <w:t>h /10</w:t>
            </w:r>
            <w:r>
              <w:rPr>
                <w:rFonts w:ascii="宋体" w:hAnsi="宋体"/>
                <w:sz w:val="18"/>
                <w:szCs w:val="18"/>
                <w:vertAlign w:val="superscript"/>
              </w:rPr>
              <w:t>3</w:t>
            </w:r>
            <w:r>
              <w:rPr>
                <w:rFonts w:ascii="宋体" w:hAnsi="宋体"/>
                <w:sz w:val="18"/>
                <w:szCs w:val="18"/>
              </w:rPr>
              <w:t>m</w:t>
            </w:r>
            <w:r>
              <w:rPr>
                <w:rFonts w:ascii="宋体" w:hAnsi="宋体"/>
                <w:sz w:val="18"/>
                <w:szCs w:val="18"/>
                <w:vertAlign w:val="superscript"/>
              </w:rPr>
              <w:t>3</w:t>
            </w:r>
            <w:r>
              <w:rPr>
                <w:rFonts w:hint="eastAsia" w:ascii="宋体" w:hAnsi="宋体"/>
                <w:sz w:val="18"/>
                <w:szCs w:val="18"/>
              </w:rPr>
              <w:t>）</w:t>
            </w:r>
          </w:p>
        </w:tc>
      </w:tr>
      <w:tr w14:paraId="003DC0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02" w:hRule="atLeast"/>
          <w:jc w:val="center"/>
        </w:trPr>
        <w:tc>
          <w:tcPr>
            <w:tcW w:w="2507" w:type="dxa"/>
            <w:vMerge w:val="continue"/>
            <w:tcBorders>
              <w:bottom w:val="single" w:color="auto" w:sz="8" w:space="0"/>
            </w:tcBorders>
            <w:shd w:val="clear" w:color="auto" w:fill="auto"/>
            <w:vAlign w:val="center"/>
          </w:tcPr>
          <w:p w14:paraId="3A4520C1">
            <w:pPr>
              <w:pStyle w:val="240"/>
              <w:jc w:val="center"/>
            </w:pPr>
          </w:p>
        </w:tc>
        <w:tc>
          <w:tcPr>
            <w:tcW w:w="3410" w:type="dxa"/>
            <w:tcBorders>
              <w:top w:val="single" w:color="auto" w:sz="8" w:space="0"/>
              <w:bottom w:val="single" w:color="auto" w:sz="8" w:space="0"/>
            </w:tcBorders>
            <w:shd w:val="clear" w:color="auto" w:fill="auto"/>
            <w:vAlign w:val="center"/>
          </w:tcPr>
          <w:p w14:paraId="09065F70">
            <w:pPr>
              <w:pStyle w:val="240"/>
              <w:jc w:val="center"/>
            </w:pPr>
            <w:r>
              <w:rPr>
                <w:rFonts w:hint="eastAsia" w:ascii="宋体" w:hAnsi="宋体"/>
                <w:sz w:val="18"/>
                <w:szCs w:val="18"/>
              </w:rPr>
              <w:t>限定值</w:t>
            </w:r>
          </w:p>
        </w:tc>
        <w:tc>
          <w:tcPr>
            <w:tcW w:w="3411" w:type="dxa"/>
            <w:tcBorders>
              <w:top w:val="single" w:color="auto" w:sz="8" w:space="0"/>
              <w:bottom w:val="single" w:color="auto" w:sz="8" w:space="0"/>
            </w:tcBorders>
            <w:shd w:val="clear" w:color="auto" w:fill="auto"/>
            <w:vAlign w:val="center"/>
          </w:tcPr>
          <w:p w14:paraId="5487FE90">
            <w:pPr>
              <w:pStyle w:val="240"/>
              <w:jc w:val="center"/>
              <w:rPr>
                <w:rFonts w:hint="eastAsia" w:ascii="宋体" w:hAnsi="宋体"/>
                <w:sz w:val="18"/>
                <w:szCs w:val="18"/>
              </w:rPr>
            </w:pPr>
            <w:r>
              <w:rPr>
                <w:rFonts w:hint="eastAsia" w:ascii="宋体" w:hAnsi="宋体"/>
                <w:spacing w:val="20"/>
                <w:sz w:val="18"/>
                <w:szCs w:val="18"/>
              </w:rPr>
              <w:t>准入值</w:t>
            </w:r>
          </w:p>
        </w:tc>
      </w:tr>
      <w:tr w14:paraId="5627D6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2507" w:type="dxa"/>
            <w:tcBorders>
              <w:top w:val="single" w:color="auto" w:sz="8" w:space="0"/>
            </w:tcBorders>
            <w:shd w:val="clear" w:color="auto" w:fill="auto"/>
            <w:vAlign w:val="center"/>
          </w:tcPr>
          <w:p w14:paraId="5C2097B9">
            <w:pPr>
              <w:pStyle w:val="240"/>
              <w:jc w:val="center"/>
              <w:rPr>
                <w:rFonts w:hint="eastAsia" w:ascii="宋体" w:hAnsi="宋体"/>
                <w:sz w:val="18"/>
                <w:szCs w:val="18"/>
              </w:rPr>
            </w:pPr>
            <w:r>
              <w:rPr>
                <w:rFonts w:hint="eastAsia" w:ascii="宋体" w:hAnsi="宋体"/>
                <w:sz w:val="18"/>
                <w:szCs w:val="18"/>
              </w:rPr>
              <w:t>自来水</w:t>
            </w:r>
          </w:p>
        </w:tc>
        <w:tc>
          <w:tcPr>
            <w:tcW w:w="3410" w:type="dxa"/>
            <w:tcBorders>
              <w:top w:val="single" w:color="auto" w:sz="8" w:space="0"/>
            </w:tcBorders>
            <w:shd w:val="clear" w:color="auto" w:fill="auto"/>
            <w:vAlign w:val="center"/>
          </w:tcPr>
          <w:p w14:paraId="696985CC">
            <w:pPr>
              <w:pStyle w:val="240"/>
              <w:jc w:val="center"/>
              <w:rPr>
                <w:rFonts w:hint="eastAsia" w:ascii="宋体" w:hAnsi="宋体"/>
                <w:sz w:val="18"/>
                <w:szCs w:val="18"/>
              </w:rPr>
            </w:pPr>
            <w:r>
              <w:rPr>
                <w:rFonts w:hint="eastAsia" w:ascii="宋体" w:hAnsi="宋体"/>
                <w:sz w:val="18"/>
                <w:szCs w:val="18"/>
              </w:rPr>
              <w:t>≤ 166</w:t>
            </w:r>
          </w:p>
        </w:tc>
        <w:tc>
          <w:tcPr>
            <w:tcW w:w="3411" w:type="dxa"/>
            <w:tcBorders>
              <w:top w:val="single" w:color="auto" w:sz="8" w:space="0"/>
            </w:tcBorders>
            <w:shd w:val="clear" w:color="auto" w:fill="auto"/>
            <w:vAlign w:val="center"/>
          </w:tcPr>
          <w:p w14:paraId="103ED96D">
            <w:pPr>
              <w:pStyle w:val="240"/>
              <w:jc w:val="center"/>
              <w:rPr>
                <w:rFonts w:hint="eastAsia" w:ascii="宋体" w:hAnsi="宋体"/>
                <w:sz w:val="18"/>
                <w:szCs w:val="18"/>
              </w:rPr>
            </w:pPr>
            <w:r>
              <w:rPr>
                <w:rFonts w:hint="eastAsia" w:ascii="宋体" w:hAnsi="宋体"/>
                <w:sz w:val="18"/>
                <w:szCs w:val="18"/>
              </w:rPr>
              <w:t>≤ 150</w:t>
            </w:r>
          </w:p>
        </w:tc>
      </w:tr>
    </w:tbl>
    <w:p w14:paraId="51687D1E">
      <w:pPr>
        <w:pStyle w:val="108"/>
        <w:spacing w:before="156" w:after="156"/>
      </w:pPr>
      <w:bookmarkStart w:id="578" w:name="_Toc26456"/>
      <w:bookmarkStart w:id="579" w:name="_Toc492372644"/>
      <w:bookmarkStart w:id="580" w:name="_Toc502760533"/>
      <w:bookmarkStart w:id="581" w:name="_Toc32197"/>
      <w:bookmarkStart w:id="582" w:name="_Toc175690966"/>
      <w:bookmarkStart w:id="583" w:name="_Toc496771329"/>
      <w:bookmarkStart w:id="584" w:name="_Toc175504980"/>
      <w:bookmarkStart w:id="585" w:name="_Toc20292"/>
      <w:bookmarkStart w:id="586" w:name="_Toc496881066"/>
      <w:bookmarkStart w:id="587" w:name="_Toc492372498"/>
      <w:r>
        <w:rPr>
          <w:rFonts w:hint="eastAsia"/>
        </w:rPr>
        <w:t>工业气体空分产品</w:t>
      </w:r>
      <w:bookmarkEnd w:id="578"/>
      <w:bookmarkEnd w:id="579"/>
      <w:bookmarkEnd w:id="580"/>
      <w:bookmarkEnd w:id="581"/>
      <w:bookmarkEnd w:id="582"/>
      <w:bookmarkEnd w:id="583"/>
      <w:bookmarkEnd w:id="584"/>
      <w:bookmarkEnd w:id="585"/>
      <w:bookmarkEnd w:id="586"/>
      <w:bookmarkEnd w:id="587"/>
    </w:p>
    <w:p w14:paraId="3094D166">
      <w:pPr>
        <w:pStyle w:val="68"/>
        <w:spacing w:before="156" w:after="156"/>
      </w:pPr>
      <w:r>
        <w:rPr>
          <w:rFonts w:hint="eastAsia"/>
        </w:rPr>
        <w:t>适用对象</w:t>
      </w:r>
    </w:p>
    <w:p w14:paraId="5832064D">
      <w:pPr>
        <w:pStyle w:val="59"/>
        <w:ind w:firstLine="420"/>
      </w:pPr>
      <w:r>
        <w:rPr>
          <w:rFonts w:hint="eastAsia"/>
        </w:rPr>
        <w:t>适用于深冷法生产空分单位产品（氧、氮、氩）电耗的计算、考核与评价。</w:t>
      </w:r>
    </w:p>
    <w:p w14:paraId="1228A66C">
      <w:pPr>
        <w:pStyle w:val="68"/>
        <w:spacing w:before="156" w:after="156"/>
      </w:pPr>
      <w:r>
        <w:rPr>
          <w:rFonts w:hint="eastAsia"/>
        </w:rPr>
        <w:t>空分装置单位产品综合电耗限定值和准入值</w:t>
      </w:r>
    </w:p>
    <w:p w14:paraId="3C8526AC">
      <w:pPr>
        <w:pStyle w:val="59"/>
        <w:ind w:firstLine="420"/>
      </w:pPr>
      <w:r>
        <w:rPr>
          <w:rFonts w:hint="eastAsia"/>
        </w:rPr>
        <w:t>现有空分装置单位产品综合电耗限定值，新建、扩建空分装置单位产品综合电耗准入值应符合表32的规定。</w:t>
      </w:r>
    </w:p>
    <w:p w14:paraId="5B29591E">
      <w:pPr>
        <w:pStyle w:val="59"/>
        <w:ind w:firstLine="420"/>
      </w:pPr>
    </w:p>
    <w:p w14:paraId="5C4CBC6C">
      <w:pPr>
        <w:pStyle w:val="59"/>
        <w:ind w:firstLine="420"/>
      </w:pPr>
    </w:p>
    <w:p w14:paraId="06E563FD">
      <w:pPr>
        <w:pStyle w:val="59"/>
        <w:ind w:firstLine="420"/>
      </w:pPr>
    </w:p>
    <w:p w14:paraId="293991D7">
      <w:pPr>
        <w:pStyle w:val="59"/>
        <w:ind w:firstLine="420"/>
      </w:pPr>
    </w:p>
    <w:p w14:paraId="209CB009">
      <w:pPr>
        <w:pStyle w:val="115"/>
        <w:spacing w:before="156" w:after="156"/>
      </w:pPr>
      <w:r>
        <w:rPr>
          <w:rFonts w:hint="eastAsia"/>
        </w:rPr>
        <w:t>空分装置单位产品综合电耗限定值和准入值</w:t>
      </w:r>
    </w:p>
    <w:tbl>
      <w:tblPr>
        <w:tblStyle w:val="28"/>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968"/>
        <w:gridCol w:w="1543"/>
        <w:gridCol w:w="1698"/>
        <w:gridCol w:w="1589"/>
        <w:gridCol w:w="1842"/>
        <w:gridCol w:w="1930"/>
      </w:tblGrid>
      <w:tr w14:paraId="315825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221" w:hRule="atLeast"/>
          <w:jc w:val="center"/>
        </w:trPr>
        <w:tc>
          <w:tcPr>
            <w:tcW w:w="506" w:type="pct"/>
            <w:vMerge w:val="restart"/>
            <w:shd w:val="clear" w:color="auto" w:fill="auto"/>
            <w:vAlign w:val="center"/>
          </w:tcPr>
          <w:p w14:paraId="361A1553">
            <w:pPr>
              <w:autoSpaceDE w:val="0"/>
              <w:autoSpaceDN w:val="0"/>
              <w:jc w:val="center"/>
              <w:rPr>
                <w:rFonts w:hint="eastAsia" w:ascii="宋体" w:hAnsi="宋体"/>
                <w:kern w:val="0"/>
                <w:sz w:val="18"/>
                <w:szCs w:val="18"/>
              </w:rPr>
            </w:pPr>
            <w:r>
              <w:rPr>
                <w:rFonts w:hint="eastAsia" w:ascii="宋体" w:hAnsi="宋体"/>
                <w:kern w:val="0"/>
                <w:sz w:val="18"/>
                <w:szCs w:val="18"/>
              </w:rPr>
              <w:t>项目</w:t>
            </w:r>
          </w:p>
        </w:tc>
        <w:tc>
          <w:tcPr>
            <w:tcW w:w="3485" w:type="pct"/>
            <w:gridSpan w:val="4"/>
            <w:shd w:val="clear" w:color="auto" w:fill="auto"/>
          </w:tcPr>
          <w:p w14:paraId="21B0D2A4">
            <w:pPr>
              <w:autoSpaceDE w:val="0"/>
              <w:autoSpaceDN w:val="0"/>
              <w:jc w:val="center"/>
              <w:rPr>
                <w:rFonts w:hint="eastAsia" w:ascii="宋体" w:hAnsi="宋体"/>
                <w:kern w:val="0"/>
                <w:sz w:val="18"/>
                <w:szCs w:val="18"/>
              </w:rPr>
            </w:pPr>
            <w:r>
              <w:rPr>
                <w:rFonts w:hint="eastAsia" w:ascii="宋体" w:hAnsi="宋体"/>
                <w:kern w:val="0"/>
                <w:sz w:val="18"/>
                <w:szCs w:val="18"/>
              </w:rPr>
              <w:t>单位产品综合电耗（kW</w:t>
            </w:r>
            <w:r>
              <w:rPr>
                <w:rFonts w:hint="default" w:ascii="Times New Roman" w:hAnsi="Times New Roman" w:cs="Times New Roman"/>
                <w:sz w:val="18"/>
                <w:szCs w:val="18"/>
              </w:rPr>
              <w:t>·</w:t>
            </w:r>
            <w:r>
              <w:rPr>
                <w:rFonts w:hint="eastAsia" w:ascii="宋体" w:hAnsi="宋体"/>
                <w:kern w:val="0"/>
                <w:sz w:val="18"/>
                <w:szCs w:val="18"/>
              </w:rPr>
              <w:t>h/m</w:t>
            </w:r>
            <w:r>
              <w:rPr>
                <w:rFonts w:hint="eastAsia" w:ascii="宋体" w:hAnsi="宋体"/>
                <w:kern w:val="0"/>
                <w:sz w:val="18"/>
                <w:szCs w:val="18"/>
                <w:vertAlign w:val="superscript"/>
              </w:rPr>
              <w:t>3</w:t>
            </w:r>
            <w:r>
              <w:rPr>
                <w:rFonts w:hint="eastAsia" w:ascii="宋体" w:hAnsi="宋体"/>
                <w:kern w:val="0"/>
                <w:sz w:val="18"/>
                <w:szCs w:val="18"/>
              </w:rPr>
              <w:t>）</w:t>
            </w:r>
          </w:p>
        </w:tc>
        <w:tc>
          <w:tcPr>
            <w:tcW w:w="1008" w:type="pct"/>
            <w:vMerge w:val="restart"/>
            <w:shd w:val="clear" w:color="auto" w:fill="auto"/>
            <w:vAlign w:val="center"/>
          </w:tcPr>
          <w:p w14:paraId="178DADFB">
            <w:pPr>
              <w:autoSpaceDE w:val="0"/>
              <w:autoSpaceDN w:val="0"/>
              <w:jc w:val="center"/>
              <w:rPr>
                <w:rFonts w:hint="eastAsia" w:ascii="宋体" w:hAnsi="宋体"/>
                <w:kern w:val="0"/>
                <w:sz w:val="18"/>
                <w:szCs w:val="18"/>
              </w:rPr>
            </w:pPr>
            <w:r>
              <w:rPr>
                <w:rFonts w:hint="eastAsia" w:ascii="宋体" w:hAnsi="宋体"/>
                <w:kern w:val="0"/>
                <w:sz w:val="18"/>
                <w:szCs w:val="18"/>
              </w:rPr>
              <w:t>备注</w:t>
            </w:r>
          </w:p>
        </w:tc>
      </w:tr>
      <w:tr w14:paraId="18114E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506" w:type="pct"/>
            <w:vMerge w:val="continue"/>
            <w:shd w:val="clear" w:color="auto" w:fill="auto"/>
            <w:vAlign w:val="center"/>
          </w:tcPr>
          <w:p w14:paraId="1DB070AA">
            <w:pPr>
              <w:autoSpaceDE w:val="0"/>
              <w:autoSpaceDN w:val="0"/>
              <w:jc w:val="center"/>
            </w:pPr>
          </w:p>
        </w:tc>
        <w:tc>
          <w:tcPr>
            <w:tcW w:w="1693" w:type="pct"/>
            <w:gridSpan w:val="2"/>
            <w:shd w:val="clear" w:color="auto" w:fill="auto"/>
          </w:tcPr>
          <w:p w14:paraId="14DEEF25">
            <w:pPr>
              <w:autoSpaceDE w:val="0"/>
              <w:autoSpaceDN w:val="0"/>
              <w:jc w:val="center"/>
            </w:pPr>
            <w:r>
              <w:rPr>
                <w:rFonts w:hint="eastAsia" w:ascii="宋体" w:hAnsi="宋体"/>
                <w:kern w:val="0"/>
                <w:sz w:val="18"/>
                <w:szCs w:val="18"/>
              </w:rPr>
              <w:t>限定值</w:t>
            </w:r>
          </w:p>
        </w:tc>
        <w:tc>
          <w:tcPr>
            <w:tcW w:w="1792" w:type="pct"/>
            <w:gridSpan w:val="2"/>
            <w:shd w:val="clear" w:color="auto" w:fill="auto"/>
          </w:tcPr>
          <w:p w14:paraId="4789198F">
            <w:pPr>
              <w:autoSpaceDE w:val="0"/>
              <w:autoSpaceDN w:val="0"/>
              <w:jc w:val="center"/>
              <w:rPr>
                <w:rFonts w:hint="eastAsia" w:ascii="宋体" w:hAnsi="宋体"/>
                <w:kern w:val="0"/>
                <w:sz w:val="18"/>
                <w:szCs w:val="18"/>
              </w:rPr>
            </w:pPr>
            <w:r>
              <w:rPr>
                <w:rFonts w:hint="eastAsia" w:ascii="宋体" w:hAnsi="宋体"/>
                <w:kern w:val="0"/>
                <w:sz w:val="18"/>
                <w:szCs w:val="18"/>
              </w:rPr>
              <w:t>准入值</w:t>
            </w:r>
          </w:p>
        </w:tc>
        <w:tc>
          <w:tcPr>
            <w:tcW w:w="1008" w:type="pct"/>
            <w:vMerge w:val="continue"/>
            <w:shd w:val="clear" w:color="auto" w:fill="auto"/>
            <w:vAlign w:val="center"/>
          </w:tcPr>
          <w:p w14:paraId="71A668D9">
            <w:pPr>
              <w:autoSpaceDE w:val="0"/>
              <w:autoSpaceDN w:val="0"/>
              <w:jc w:val="center"/>
              <w:rPr>
                <w:rFonts w:hint="eastAsia" w:ascii="宋体" w:hAnsi="宋体"/>
                <w:kern w:val="0"/>
                <w:sz w:val="18"/>
                <w:szCs w:val="18"/>
              </w:rPr>
            </w:pPr>
          </w:p>
        </w:tc>
      </w:tr>
      <w:tr w14:paraId="58F283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3" w:hRule="exact"/>
          <w:jc w:val="center"/>
        </w:trPr>
        <w:tc>
          <w:tcPr>
            <w:tcW w:w="506" w:type="pct"/>
            <w:vMerge w:val="continue"/>
            <w:shd w:val="clear" w:color="auto" w:fill="auto"/>
            <w:vAlign w:val="center"/>
          </w:tcPr>
          <w:p w14:paraId="6AF321F2">
            <w:pPr>
              <w:widowControl/>
              <w:jc w:val="left"/>
              <w:rPr>
                <w:rFonts w:hint="eastAsia" w:ascii="宋体" w:hAnsi="宋体"/>
                <w:kern w:val="0"/>
                <w:sz w:val="18"/>
                <w:szCs w:val="18"/>
              </w:rPr>
            </w:pPr>
          </w:p>
        </w:tc>
        <w:tc>
          <w:tcPr>
            <w:tcW w:w="806" w:type="pct"/>
            <w:shd w:val="clear" w:color="auto" w:fill="auto"/>
          </w:tcPr>
          <w:p w14:paraId="0C6A2C11">
            <w:pPr>
              <w:autoSpaceDE w:val="0"/>
              <w:autoSpaceDN w:val="0"/>
              <w:jc w:val="center"/>
              <w:rPr>
                <w:rFonts w:hint="eastAsia" w:ascii="宋体" w:hAnsi="宋体"/>
                <w:kern w:val="0"/>
                <w:sz w:val="18"/>
                <w:szCs w:val="18"/>
              </w:rPr>
            </w:pPr>
            <w:r>
              <w:rPr>
                <w:rFonts w:hint="eastAsia" w:ascii="宋体" w:hAnsi="宋体"/>
                <w:sz w:val="18"/>
                <w:szCs w:val="18"/>
              </w:rPr>
              <w:t>≥</w:t>
            </w:r>
            <w:r>
              <w:rPr>
                <w:rFonts w:ascii="宋体" w:hAnsi="宋体"/>
                <w:sz w:val="18"/>
                <w:szCs w:val="18"/>
              </w:rPr>
              <w:t>1000</w:t>
            </w:r>
            <w:r>
              <w:rPr>
                <w:rFonts w:hint="eastAsia" w:ascii="宋体" w:hAnsi="宋体"/>
                <w:sz w:val="18"/>
                <w:szCs w:val="18"/>
              </w:rPr>
              <w:t xml:space="preserve"> </w:t>
            </w:r>
            <w:r>
              <w:rPr>
                <w:rFonts w:hint="eastAsia" w:ascii="宋体" w:hAnsi="宋体"/>
                <w:kern w:val="0"/>
                <w:sz w:val="18"/>
                <w:szCs w:val="18"/>
              </w:rPr>
              <w:t>m</w:t>
            </w:r>
            <w:r>
              <w:rPr>
                <w:rFonts w:hint="eastAsia" w:ascii="宋体" w:hAnsi="宋体"/>
                <w:kern w:val="0"/>
                <w:sz w:val="18"/>
                <w:szCs w:val="18"/>
                <w:vertAlign w:val="superscript"/>
              </w:rPr>
              <w:t>3</w:t>
            </w:r>
            <w:r>
              <w:rPr>
                <w:rFonts w:hint="eastAsia" w:ascii="宋体" w:hAnsi="宋体"/>
                <w:sz w:val="18"/>
                <w:szCs w:val="18"/>
              </w:rPr>
              <w:t>/h</w:t>
            </w:r>
          </w:p>
        </w:tc>
        <w:tc>
          <w:tcPr>
            <w:tcW w:w="887" w:type="pct"/>
            <w:shd w:val="clear" w:color="auto" w:fill="auto"/>
          </w:tcPr>
          <w:p w14:paraId="6029320F">
            <w:pPr>
              <w:autoSpaceDE w:val="0"/>
              <w:autoSpaceDN w:val="0"/>
              <w:jc w:val="center"/>
              <w:rPr>
                <w:rFonts w:hint="eastAsia" w:ascii="宋体" w:hAnsi="宋体"/>
                <w:kern w:val="0"/>
                <w:sz w:val="18"/>
                <w:szCs w:val="18"/>
              </w:rPr>
            </w:pPr>
            <w:r>
              <w:rPr>
                <w:rFonts w:ascii="宋体" w:hAnsi="宋体"/>
                <w:kern w:val="0"/>
                <w:sz w:val="18"/>
                <w:szCs w:val="18"/>
              </w:rPr>
              <w:t>&lt;</w:t>
            </w:r>
            <w:r>
              <w:rPr>
                <w:rFonts w:ascii="宋体" w:hAnsi="宋体"/>
                <w:sz w:val="18"/>
                <w:szCs w:val="18"/>
              </w:rPr>
              <w:t>1000</w:t>
            </w:r>
            <w:r>
              <w:rPr>
                <w:rFonts w:hint="eastAsia" w:ascii="宋体" w:hAnsi="宋体"/>
                <w:sz w:val="18"/>
                <w:szCs w:val="18"/>
              </w:rPr>
              <w:t xml:space="preserve"> </w:t>
            </w:r>
            <w:r>
              <w:rPr>
                <w:rFonts w:hint="eastAsia" w:ascii="宋体" w:hAnsi="宋体"/>
                <w:kern w:val="0"/>
                <w:sz w:val="18"/>
                <w:szCs w:val="18"/>
              </w:rPr>
              <w:t>m</w:t>
            </w:r>
            <w:r>
              <w:rPr>
                <w:rFonts w:hint="eastAsia" w:ascii="宋体" w:hAnsi="宋体"/>
                <w:kern w:val="0"/>
                <w:sz w:val="18"/>
                <w:szCs w:val="18"/>
                <w:vertAlign w:val="superscript"/>
              </w:rPr>
              <w:t>3</w:t>
            </w:r>
            <w:r>
              <w:rPr>
                <w:rFonts w:hint="eastAsia" w:ascii="宋体" w:hAnsi="宋体"/>
                <w:sz w:val="18"/>
                <w:szCs w:val="18"/>
              </w:rPr>
              <w:t>/h</w:t>
            </w:r>
          </w:p>
        </w:tc>
        <w:tc>
          <w:tcPr>
            <w:tcW w:w="830" w:type="pct"/>
            <w:shd w:val="clear" w:color="auto" w:fill="auto"/>
          </w:tcPr>
          <w:p w14:paraId="277257E5">
            <w:pPr>
              <w:autoSpaceDE w:val="0"/>
              <w:autoSpaceDN w:val="0"/>
              <w:jc w:val="center"/>
              <w:rPr>
                <w:rFonts w:hint="eastAsia" w:ascii="宋体" w:hAnsi="宋体"/>
                <w:kern w:val="0"/>
                <w:sz w:val="18"/>
                <w:szCs w:val="18"/>
              </w:rPr>
            </w:pPr>
            <w:r>
              <w:rPr>
                <w:rFonts w:hint="eastAsia" w:ascii="宋体" w:hAnsi="宋体"/>
                <w:sz w:val="18"/>
                <w:szCs w:val="18"/>
              </w:rPr>
              <w:t>≥</w:t>
            </w:r>
            <w:r>
              <w:rPr>
                <w:rFonts w:ascii="宋体" w:hAnsi="宋体"/>
                <w:sz w:val="18"/>
                <w:szCs w:val="18"/>
              </w:rPr>
              <w:t>1000</w:t>
            </w:r>
            <w:r>
              <w:rPr>
                <w:rFonts w:hint="eastAsia" w:ascii="宋体" w:hAnsi="宋体"/>
                <w:sz w:val="18"/>
                <w:szCs w:val="18"/>
              </w:rPr>
              <w:t xml:space="preserve"> </w:t>
            </w:r>
            <w:r>
              <w:rPr>
                <w:rFonts w:hint="eastAsia" w:ascii="宋体" w:hAnsi="宋体"/>
                <w:kern w:val="0"/>
                <w:sz w:val="18"/>
                <w:szCs w:val="18"/>
              </w:rPr>
              <w:t>m</w:t>
            </w:r>
            <w:r>
              <w:rPr>
                <w:rFonts w:hint="eastAsia" w:ascii="宋体" w:hAnsi="宋体"/>
                <w:kern w:val="0"/>
                <w:sz w:val="18"/>
                <w:szCs w:val="18"/>
                <w:vertAlign w:val="superscript"/>
              </w:rPr>
              <w:t>3</w:t>
            </w:r>
            <w:r>
              <w:rPr>
                <w:rFonts w:hint="eastAsia" w:ascii="宋体" w:hAnsi="宋体"/>
                <w:sz w:val="18"/>
                <w:szCs w:val="18"/>
              </w:rPr>
              <w:t>/h</w:t>
            </w:r>
          </w:p>
        </w:tc>
        <w:tc>
          <w:tcPr>
            <w:tcW w:w="961" w:type="pct"/>
            <w:shd w:val="clear" w:color="auto" w:fill="auto"/>
          </w:tcPr>
          <w:p w14:paraId="68A2BBFD">
            <w:pPr>
              <w:autoSpaceDE w:val="0"/>
              <w:autoSpaceDN w:val="0"/>
              <w:jc w:val="center"/>
              <w:rPr>
                <w:rFonts w:hint="eastAsia" w:ascii="宋体" w:hAnsi="宋体"/>
                <w:kern w:val="0"/>
                <w:sz w:val="18"/>
                <w:szCs w:val="18"/>
              </w:rPr>
            </w:pPr>
            <w:r>
              <w:rPr>
                <w:rFonts w:ascii="宋体" w:hAnsi="宋体"/>
                <w:kern w:val="0"/>
                <w:sz w:val="18"/>
                <w:szCs w:val="18"/>
              </w:rPr>
              <w:t>&lt;</w:t>
            </w:r>
            <w:r>
              <w:rPr>
                <w:rFonts w:ascii="宋体" w:hAnsi="宋体"/>
                <w:sz w:val="18"/>
                <w:szCs w:val="18"/>
              </w:rPr>
              <w:t>1000</w:t>
            </w:r>
            <w:r>
              <w:rPr>
                <w:rFonts w:hint="eastAsia" w:ascii="宋体" w:hAnsi="宋体"/>
                <w:sz w:val="18"/>
                <w:szCs w:val="18"/>
              </w:rPr>
              <w:t xml:space="preserve"> </w:t>
            </w:r>
            <w:r>
              <w:rPr>
                <w:rFonts w:hint="eastAsia" w:ascii="宋体" w:hAnsi="宋体"/>
                <w:kern w:val="0"/>
                <w:sz w:val="18"/>
                <w:szCs w:val="18"/>
              </w:rPr>
              <w:t>m</w:t>
            </w:r>
            <w:r>
              <w:rPr>
                <w:rFonts w:hint="eastAsia" w:ascii="宋体" w:hAnsi="宋体"/>
                <w:kern w:val="0"/>
                <w:sz w:val="18"/>
                <w:szCs w:val="18"/>
                <w:vertAlign w:val="superscript"/>
              </w:rPr>
              <w:t>3</w:t>
            </w:r>
            <w:r>
              <w:rPr>
                <w:rFonts w:hint="eastAsia" w:ascii="宋体" w:hAnsi="宋体"/>
                <w:sz w:val="18"/>
                <w:szCs w:val="18"/>
              </w:rPr>
              <w:t>/h</w:t>
            </w:r>
          </w:p>
        </w:tc>
        <w:tc>
          <w:tcPr>
            <w:tcW w:w="1008" w:type="pct"/>
            <w:shd w:val="clear" w:color="auto" w:fill="auto"/>
            <w:vAlign w:val="center"/>
          </w:tcPr>
          <w:p w14:paraId="4612C3E8">
            <w:pPr>
              <w:widowControl/>
              <w:jc w:val="left"/>
              <w:rPr>
                <w:rFonts w:hint="eastAsia" w:ascii="宋体" w:hAnsi="宋体"/>
                <w:kern w:val="0"/>
                <w:sz w:val="18"/>
                <w:szCs w:val="18"/>
              </w:rPr>
            </w:pPr>
            <w:r>
              <w:rPr>
                <w:rFonts w:hint="eastAsia" w:ascii="宋体" w:hAnsi="宋体"/>
                <w:kern w:val="0"/>
                <w:sz w:val="18"/>
                <w:szCs w:val="18"/>
              </w:rPr>
              <w:t>空分装置能力</w:t>
            </w:r>
          </w:p>
        </w:tc>
      </w:tr>
      <w:tr w14:paraId="78336A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7" w:hRule="exact"/>
          <w:jc w:val="center"/>
        </w:trPr>
        <w:tc>
          <w:tcPr>
            <w:tcW w:w="506" w:type="pct"/>
            <w:shd w:val="clear" w:color="auto" w:fill="auto"/>
            <w:vAlign w:val="center"/>
          </w:tcPr>
          <w:p w14:paraId="6AB75E95">
            <w:pPr>
              <w:autoSpaceDE w:val="0"/>
              <w:autoSpaceDN w:val="0"/>
              <w:jc w:val="center"/>
              <w:rPr>
                <w:rFonts w:hint="eastAsia" w:ascii="宋体" w:hAnsi="宋体"/>
                <w:kern w:val="0"/>
                <w:sz w:val="18"/>
                <w:szCs w:val="18"/>
              </w:rPr>
            </w:pPr>
            <w:r>
              <w:rPr>
                <w:rFonts w:hint="eastAsia" w:ascii="宋体" w:hAnsi="宋体"/>
                <w:kern w:val="0"/>
                <w:sz w:val="18"/>
                <w:szCs w:val="18"/>
              </w:rPr>
              <w:t>制氧</w:t>
            </w:r>
          </w:p>
        </w:tc>
        <w:tc>
          <w:tcPr>
            <w:tcW w:w="806" w:type="pct"/>
            <w:shd w:val="clear" w:color="auto" w:fill="auto"/>
            <w:vAlign w:val="center"/>
          </w:tcPr>
          <w:p w14:paraId="17B477C9">
            <w:pPr>
              <w:autoSpaceDE w:val="0"/>
              <w:autoSpaceDN w:val="0"/>
              <w:jc w:val="center"/>
              <w:rPr>
                <w:rFonts w:hint="eastAsia" w:ascii="宋体" w:hAnsi="宋体"/>
                <w:kern w:val="0"/>
                <w:sz w:val="18"/>
                <w:szCs w:val="18"/>
              </w:rPr>
            </w:pPr>
            <w:r>
              <w:rPr>
                <w:rFonts w:hint="eastAsia" w:ascii="宋体" w:hAnsi="宋体"/>
                <w:sz w:val="18"/>
                <w:szCs w:val="18"/>
              </w:rPr>
              <w:t xml:space="preserve">≤ </w:t>
            </w:r>
            <w:r>
              <w:rPr>
                <w:rFonts w:ascii="宋体" w:hAnsi="宋体"/>
                <w:kern w:val="0"/>
                <w:sz w:val="18"/>
                <w:szCs w:val="18"/>
              </w:rPr>
              <w:t>0.6</w:t>
            </w:r>
            <w:r>
              <w:rPr>
                <w:rFonts w:hint="eastAsia" w:ascii="宋体" w:hAnsi="宋体"/>
                <w:kern w:val="0"/>
                <w:sz w:val="18"/>
                <w:szCs w:val="18"/>
              </w:rPr>
              <w:t>0</w:t>
            </w:r>
          </w:p>
        </w:tc>
        <w:tc>
          <w:tcPr>
            <w:tcW w:w="887" w:type="pct"/>
            <w:shd w:val="clear" w:color="auto" w:fill="auto"/>
            <w:vAlign w:val="center"/>
          </w:tcPr>
          <w:p w14:paraId="016424F4">
            <w:pPr>
              <w:autoSpaceDE w:val="0"/>
              <w:autoSpaceDN w:val="0"/>
              <w:jc w:val="center"/>
              <w:rPr>
                <w:rFonts w:hint="eastAsia" w:ascii="宋体" w:hAnsi="宋体"/>
                <w:kern w:val="0"/>
                <w:sz w:val="18"/>
                <w:szCs w:val="18"/>
              </w:rPr>
            </w:pPr>
            <w:r>
              <w:rPr>
                <w:rFonts w:hint="eastAsia" w:ascii="宋体" w:hAnsi="宋体"/>
                <w:sz w:val="18"/>
                <w:szCs w:val="18"/>
              </w:rPr>
              <w:t xml:space="preserve">≤ </w:t>
            </w:r>
            <w:r>
              <w:rPr>
                <w:rFonts w:ascii="宋体" w:hAnsi="宋体"/>
                <w:kern w:val="0"/>
                <w:sz w:val="18"/>
                <w:szCs w:val="18"/>
              </w:rPr>
              <w:t>0.78</w:t>
            </w:r>
          </w:p>
        </w:tc>
        <w:tc>
          <w:tcPr>
            <w:tcW w:w="830" w:type="pct"/>
            <w:shd w:val="clear" w:color="auto" w:fill="auto"/>
            <w:vAlign w:val="center"/>
          </w:tcPr>
          <w:p w14:paraId="79EA4A54">
            <w:pPr>
              <w:autoSpaceDE w:val="0"/>
              <w:autoSpaceDN w:val="0"/>
              <w:jc w:val="center"/>
              <w:rPr>
                <w:rFonts w:hint="eastAsia" w:ascii="宋体" w:hAnsi="宋体"/>
                <w:kern w:val="0"/>
                <w:sz w:val="18"/>
                <w:szCs w:val="18"/>
              </w:rPr>
            </w:pPr>
            <w:r>
              <w:rPr>
                <w:rFonts w:hint="eastAsia" w:ascii="宋体" w:hAnsi="宋体"/>
                <w:sz w:val="18"/>
                <w:szCs w:val="18"/>
              </w:rPr>
              <w:t xml:space="preserve">≤ </w:t>
            </w:r>
            <w:r>
              <w:rPr>
                <w:rFonts w:hint="eastAsia" w:ascii="宋体" w:hAnsi="宋体"/>
                <w:kern w:val="0"/>
                <w:sz w:val="18"/>
                <w:szCs w:val="18"/>
              </w:rPr>
              <w:t>0.55</w:t>
            </w:r>
          </w:p>
        </w:tc>
        <w:tc>
          <w:tcPr>
            <w:tcW w:w="961" w:type="pct"/>
            <w:shd w:val="clear" w:color="auto" w:fill="auto"/>
            <w:vAlign w:val="center"/>
          </w:tcPr>
          <w:p w14:paraId="2C32605E">
            <w:pPr>
              <w:autoSpaceDE w:val="0"/>
              <w:autoSpaceDN w:val="0"/>
              <w:jc w:val="center"/>
              <w:rPr>
                <w:rFonts w:hint="eastAsia" w:ascii="宋体" w:hAnsi="宋体"/>
                <w:kern w:val="0"/>
                <w:sz w:val="18"/>
                <w:szCs w:val="18"/>
              </w:rPr>
            </w:pPr>
            <w:r>
              <w:rPr>
                <w:rFonts w:hint="eastAsia" w:ascii="宋体" w:hAnsi="宋体"/>
                <w:sz w:val="18"/>
                <w:szCs w:val="18"/>
              </w:rPr>
              <w:t xml:space="preserve">≤ </w:t>
            </w:r>
            <w:r>
              <w:rPr>
                <w:rFonts w:hint="eastAsia" w:ascii="宋体" w:hAnsi="宋体"/>
                <w:kern w:val="0"/>
                <w:sz w:val="18"/>
                <w:szCs w:val="18"/>
              </w:rPr>
              <w:t>0.70</w:t>
            </w:r>
          </w:p>
        </w:tc>
        <w:tc>
          <w:tcPr>
            <w:tcW w:w="1008" w:type="pct"/>
            <w:shd w:val="clear" w:color="auto" w:fill="auto"/>
            <w:vAlign w:val="center"/>
          </w:tcPr>
          <w:p w14:paraId="23A7D216">
            <w:pPr>
              <w:autoSpaceDE w:val="0"/>
              <w:autoSpaceDN w:val="0"/>
              <w:jc w:val="center"/>
              <w:rPr>
                <w:rFonts w:hint="eastAsia" w:ascii="宋体" w:hAnsi="宋体"/>
                <w:kern w:val="0"/>
                <w:sz w:val="18"/>
                <w:szCs w:val="18"/>
              </w:rPr>
            </w:pPr>
            <w:r>
              <w:rPr>
                <w:rFonts w:hint="eastAsia" w:ascii="宋体" w:hAnsi="宋体"/>
                <w:kern w:val="0"/>
                <w:sz w:val="18"/>
                <w:szCs w:val="18"/>
              </w:rPr>
              <w:t>O</w:t>
            </w:r>
            <w:r>
              <w:rPr>
                <w:rFonts w:hint="eastAsia" w:ascii="宋体" w:hAnsi="宋体"/>
                <w:kern w:val="0"/>
                <w:sz w:val="18"/>
                <w:szCs w:val="18"/>
                <w:vertAlign w:val="subscript"/>
              </w:rPr>
              <w:t>2</w:t>
            </w:r>
            <w:r>
              <w:rPr>
                <w:rFonts w:hint="eastAsia" w:ascii="宋体" w:hAnsi="宋体"/>
                <w:sz w:val="18"/>
                <w:szCs w:val="18"/>
              </w:rPr>
              <w:t>≥</w:t>
            </w:r>
            <w:r>
              <w:rPr>
                <w:rFonts w:ascii="宋体" w:hAnsi="宋体"/>
                <w:sz w:val="18"/>
                <w:szCs w:val="18"/>
              </w:rPr>
              <w:t>99.5</w:t>
            </w:r>
            <w:r>
              <w:rPr>
                <w:rFonts w:hint="eastAsia" w:ascii="宋体" w:hAnsi="宋体"/>
                <w:sz w:val="18"/>
                <w:szCs w:val="18"/>
              </w:rPr>
              <w:t>％</w:t>
            </w:r>
          </w:p>
        </w:tc>
      </w:tr>
      <w:tr w14:paraId="56966F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3" w:hRule="exact"/>
          <w:jc w:val="center"/>
        </w:trPr>
        <w:tc>
          <w:tcPr>
            <w:tcW w:w="506" w:type="pct"/>
            <w:shd w:val="clear" w:color="auto" w:fill="auto"/>
            <w:vAlign w:val="center"/>
          </w:tcPr>
          <w:p w14:paraId="679B3874">
            <w:pPr>
              <w:autoSpaceDE w:val="0"/>
              <w:autoSpaceDN w:val="0"/>
              <w:jc w:val="center"/>
              <w:rPr>
                <w:rFonts w:hint="eastAsia" w:ascii="宋体" w:hAnsi="宋体"/>
                <w:kern w:val="0"/>
                <w:sz w:val="18"/>
                <w:szCs w:val="18"/>
              </w:rPr>
            </w:pPr>
            <w:r>
              <w:rPr>
                <w:rFonts w:hint="eastAsia" w:ascii="宋体" w:hAnsi="宋体"/>
                <w:kern w:val="0"/>
                <w:sz w:val="18"/>
                <w:szCs w:val="18"/>
              </w:rPr>
              <w:t>制氮</w:t>
            </w:r>
          </w:p>
        </w:tc>
        <w:tc>
          <w:tcPr>
            <w:tcW w:w="806" w:type="pct"/>
            <w:shd w:val="clear" w:color="auto" w:fill="auto"/>
            <w:vAlign w:val="center"/>
          </w:tcPr>
          <w:p w14:paraId="48D1B94B">
            <w:pPr>
              <w:autoSpaceDE w:val="0"/>
              <w:autoSpaceDN w:val="0"/>
              <w:jc w:val="center"/>
              <w:rPr>
                <w:rFonts w:hint="eastAsia" w:ascii="宋体" w:hAnsi="宋体"/>
                <w:kern w:val="0"/>
                <w:sz w:val="18"/>
                <w:szCs w:val="18"/>
              </w:rPr>
            </w:pPr>
            <w:r>
              <w:rPr>
                <w:rFonts w:hint="eastAsia" w:ascii="宋体" w:hAnsi="宋体"/>
                <w:sz w:val="18"/>
                <w:szCs w:val="18"/>
              </w:rPr>
              <w:t xml:space="preserve">≤ </w:t>
            </w:r>
            <w:r>
              <w:rPr>
                <w:rFonts w:ascii="宋体" w:hAnsi="宋体"/>
                <w:kern w:val="0"/>
                <w:sz w:val="18"/>
                <w:szCs w:val="18"/>
              </w:rPr>
              <w:t>0.4</w:t>
            </w:r>
            <w:r>
              <w:rPr>
                <w:rFonts w:hint="eastAsia" w:ascii="宋体" w:hAnsi="宋体"/>
                <w:kern w:val="0"/>
                <w:sz w:val="18"/>
                <w:szCs w:val="18"/>
              </w:rPr>
              <w:t>2</w:t>
            </w:r>
          </w:p>
        </w:tc>
        <w:tc>
          <w:tcPr>
            <w:tcW w:w="887" w:type="pct"/>
            <w:shd w:val="clear" w:color="auto" w:fill="auto"/>
            <w:vAlign w:val="center"/>
          </w:tcPr>
          <w:p w14:paraId="30BE5574">
            <w:pPr>
              <w:autoSpaceDE w:val="0"/>
              <w:autoSpaceDN w:val="0"/>
              <w:jc w:val="center"/>
              <w:rPr>
                <w:rFonts w:hint="eastAsia" w:ascii="宋体" w:hAnsi="宋体"/>
                <w:kern w:val="0"/>
                <w:sz w:val="18"/>
                <w:szCs w:val="18"/>
              </w:rPr>
            </w:pPr>
            <w:r>
              <w:rPr>
                <w:rFonts w:hint="eastAsia" w:ascii="宋体" w:hAnsi="宋体"/>
                <w:sz w:val="18"/>
                <w:szCs w:val="18"/>
              </w:rPr>
              <w:t xml:space="preserve">≤ </w:t>
            </w:r>
            <w:r>
              <w:rPr>
                <w:rFonts w:ascii="宋体" w:hAnsi="宋体"/>
                <w:kern w:val="0"/>
                <w:sz w:val="18"/>
                <w:szCs w:val="18"/>
              </w:rPr>
              <w:t>0.44</w:t>
            </w:r>
          </w:p>
        </w:tc>
        <w:tc>
          <w:tcPr>
            <w:tcW w:w="830" w:type="pct"/>
            <w:shd w:val="clear" w:color="auto" w:fill="auto"/>
            <w:vAlign w:val="center"/>
          </w:tcPr>
          <w:p w14:paraId="10E10980">
            <w:pPr>
              <w:autoSpaceDE w:val="0"/>
              <w:autoSpaceDN w:val="0"/>
              <w:jc w:val="center"/>
              <w:rPr>
                <w:rFonts w:hint="eastAsia" w:ascii="宋体" w:hAnsi="宋体"/>
                <w:kern w:val="0"/>
                <w:sz w:val="18"/>
                <w:szCs w:val="18"/>
              </w:rPr>
            </w:pPr>
            <w:r>
              <w:rPr>
                <w:rFonts w:hint="eastAsia" w:ascii="宋体" w:hAnsi="宋体"/>
                <w:sz w:val="18"/>
                <w:szCs w:val="18"/>
              </w:rPr>
              <w:t xml:space="preserve">≤ </w:t>
            </w:r>
            <w:r>
              <w:rPr>
                <w:rFonts w:hint="eastAsia" w:ascii="宋体" w:hAnsi="宋体"/>
                <w:kern w:val="0"/>
                <w:sz w:val="18"/>
                <w:szCs w:val="18"/>
              </w:rPr>
              <w:t>0.40</w:t>
            </w:r>
          </w:p>
        </w:tc>
        <w:tc>
          <w:tcPr>
            <w:tcW w:w="961" w:type="pct"/>
            <w:shd w:val="clear" w:color="auto" w:fill="auto"/>
            <w:vAlign w:val="center"/>
          </w:tcPr>
          <w:p w14:paraId="24363C7B">
            <w:pPr>
              <w:autoSpaceDE w:val="0"/>
              <w:autoSpaceDN w:val="0"/>
              <w:jc w:val="center"/>
              <w:rPr>
                <w:rFonts w:hint="eastAsia" w:ascii="宋体" w:hAnsi="宋体"/>
                <w:kern w:val="0"/>
                <w:sz w:val="18"/>
                <w:szCs w:val="18"/>
              </w:rPr>
            </w:pPr>
            <w:r>
              <w:rPr>
                <w:rFonts w:hint="eastAsia" w:ascii="宋体" w:hAnsi="宋体"/>
                <w:sz w:val="18"/>
                <w:szCs w:val="18"/>
              </w:rPr>
              <w:t xml:space="preserve">≤ </w:t>
            </w:r>
            <w:r>
              <w:rPr>
                <w:rFonts w:hint="eastAsia" w:ascii="宋体" w:hAnsi="宋体"/>
                <w:kern w:val="0"/>
                <w:sz w:val="18"/>
                <w:szCs w:val="18"/>
              </w:rPr>
              <w:t>0.42</w:t>
            </w:r>
          </w:p>
        </w:tc>
        <w:tc>
          <w:tcPr>
            <w:tcW w:w="1008" w:type="pct"/>
            <w:shd w:val="clear" w:color="auto" w:fill="auto"/>
            <w:vAlign w:val="center"/>
          </w:tcPr>
          <w:p w14:paraId="4FBB1160">
            <w:pPr>
              <w:autoSpaceDE w:val="0"/>
              <w:autoSpaceDN w:val="0"/>
              <w:jc w:val="center"/>
              <w:rPr>
                <w:rFonts w:hint="eastAsia" w:ascii="宋体" w:hAnsi="宋体"/>
                <w:kern w:val="0"/>
                <w:sz w:val="18"/>
                <w:szCs w:val="18"/>
              </w:rPr>
            </w:pPr>
            <w:r>
              <w:rPr>
                <w:rFonts w:hint="eastAsia" w:ascii="宋体" w:hAnsi="宋体"/>
                <w:kern w:val="0"/>
                <w:sz w:val="18"/>
                <w:szCs w:val="18"/>
              </w:rPr>
              <w:t>N</w:t>
            </w:r>
            <w:r>
              <w:rPr>
                <w:rFonts w:hint="eastAsia" w:ascii="宋体" w:hAnsi="宋体"/>
                <w:kern w:val="0"/>
                <w:sz w:val="18"/>
                <w:szCs w:val="18"/>
                <w:vertAlign w:val="subscript"/>
              </w:rPr>
              <w:t>2</w:t>
            </w:r>
            <w:r>
              <w:rPr>
                <w:rFonts w:hint="eastAsia" w:ascii="宋体" w:hAnsi="宋体"/>
                <w:sz w:val="18"/>
                <w:szCs w:val="18"/>
              </w:rPr>
              <w:t>≥</w:t>
            </w:r>
            <w:r>
              <w:rPr>
                <w:rFonts w:ascii="宋体" w:hAnsi="宋体"/>
                <w:sz w:val="18"/>
                <w:szCs w:val="18"/>
              </w:rPr>
              <w:t>99.99</w:t>
            </w:r>
            <w:r>
              <w:rPr>
                <w:rFonts w:hint="eastAsia" w:ascii="宋体" w:hAnsi="宋体"/>
                <w:sz w:val="18"/>
                <w:szCs w:val="18"/>
              </w:rPr>
              <w:t>％</w:t>
            </w:r>
          </w:p>
        </w:tc>
      </w:tr>
    </w:tbl>
    <w:p w14:paraId="644B38AD">
      <w:pPr>
        <w:pStyle w:val="108"/>
        <w:spacing w:before="156" w:after="156"/>
      </w:pPr>
      <w:bookmarkStart w:id="588" w:name="_Toc14362"/>
      <w:bookmarkStart w:id="589" w:name="_Toc175504981"/>
      <w:bookmarkStart w:id="590" w:name="_Toc175690967"/>
      <w:bookmarkStart w:id="591" w:name="_Toc28159"/>
      <w:bookmarkStart w:id="592" w:name="_Toc16155"/>
      <w:bookmarkStart w:id="593" w:name="_Toc496771332"/>
      <w:bookmarkStart w:id="594" w:name="_Toc496881069"/>
      <w:bookmarkStart w:id="595" w:name="_Toc492372647"/>
      <w:bookmarkStart w:id="596" w:name="_Toc483398325"/>
      <w:bookmarkStart w:id="597" w:name="_Toc483588229"/>
      <w:bookmarkStart w:id="598" w:name="_Toc492372501"/>
      <w:bookmarkStart w:id="599" w:name="_Toc483578736"/>
      <w:bookmarkStart w:id="600" w:name="_Toc483588765"/>
      <w:bookmarkStart w:id="601" w:name="_Toc502760536"/>
      <w:r>
        <w:rPr>
          <w:rFonts w:hint="eastAsia"/>
        </w:rPr>
        <w:t>压缩空气站</w:t>
      </w:r>
      <w:bookmarkEnd w:id="588"/>
      <w:bookmarkEnd w:id="589"/>
      <w:bookmarkEnd w:id="590"/>
      <w:bookmarkEnd w:id="591"/>
      <w:bookmarkEnd w:id="592"/>
    </w:p>
    <w:p w14:paraId="34CA29B4">
      <w:pPr>
        <w:pStyle w:val="68"/>
        <w:spacing w:before="156" w:after="156"/>
      </w:pPr>
      <w:r>
        <w:rPr>
          <w:rFonts w:hint="eastAsia"/>
        </w:rPr>
        <w:t>适用对象</w:t>
      </w:r>
    </w:p>
    <w:p w14:paraId="4AAEA499">
      <w:pPr>
        <w:widowControl/>
        <w:ind w:firstLine="420" w:firstLineChars="200"/>
        <w:jc w:val="left"/>
        <w:rPr>
          <w:rFonts w:hint="eastAsia" w:ascii="F5" w:hAnsi="F5" w:eastAsia="F5" w:cs="F5"/>
          <w:kern w:val="0"/>
        </w:rPr>
      </w:pPr>
      <w:r>
        <w:rPr>
          <w:rFonts w:ascii="F5" w:hAnsi="F5" w:eastAsia="F5" w:cs="F5"/>
          <w:kern w:val="0"/>
        </w:rPr>
        <w:t>适用于额定排气压力不超过1.25MPa（表压），容积总流量≥10 m</w:t>
      </w:r>
      <w:r>
        <w:rPr>
          <w:rFonts w:ascii="F5" w:hAnsi="F5" w:eastAsia="F5" w:cs="F5"/>
          <w:kern w:val="0"/>
          <w:vertAlign w:val="superscript"/>
        </w:rPr>
        <w:t>3</w:t>
      </w:r>
      <w:r>
        <w:rPr>
          <w:rFonts w:ascii="F5" w:hAnsi="F5" w:eastAsia="F5" w:cs="F5"/>
          <w:kern w:val="0"/>
        </w:rPr>
        <w:t xml:space="preserve"> /min的压缩空气站。</w:t>
      </w:r>
    </w:p>
    <w:p w14:paraId="28ED62FE">
      <w:pPr>
        <w:pStyle w:val="68"/>
        <w:widowControl/>
        <w:spacing w:before="156" w:after="156"/>
        <w:jc w:val="left"/>
      </w:pPr>
      <w:r>
        <w:rPr>
          <w:rFonts w:hint="eastAsia"/>
        </w:rPr>
        <w:t>压缩空气站电耗限额</w:t>
      </w:r>
    </w:p>
    <w:p w14:paraId="35FB62D8">
      <w:pPr>
        <w:pStyle w:val="68"/>
        <w:widowControl/>
        <w:numPr>
          <w:ilvl w:val="255"/>
          <w:numId w:val="0"/>
        </w:numPr>
        <w:spacing w:before="156" w:after="156"/>
        <w:ind w:firstLine="420" w:firstLineChars="200"/>
        <w:jc w:val="left"/>
      </w:pPr>
      <w:r>
        <w:rPr>
          <w:rFonts w:hint="eastAsia"/>
        </w:rPr>
        <w:t>压缩空气站电耗限额指标见表33。</w:t>
      </w:r>
    </w:p>
    <w:p w14:paraId="080BD7A2">
      <w:pPr>
        <w:pStyle w:val="115"/>
        <w:spacing w:before="156" w:after="156"/>
      </w:pPr>
      <w:r>
        <w:rPr>
          <w:rFonts w:hint="eastAsia"/>
        </w:rPr>
        <w:t>压缩空气站电耗限额指标</w:t>
      </w:r>
    </w:p>
    <w:tbl>
      <w:tblPr>
        <w:tblStyle w:val="28"/>
        <w:tblW w:w="5059"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400"/>
        <w:gridCol w:w="3040"/>
        <w:gridCol w:w="3045"/>
      </w:tblGrid>
      <w:tr w14:paraId="239485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1792" w:type="pct"/>
            <w:vMerge w:val="restart"/>
            <w:tcBorders>
              <w:top w:val="single" w:color="auto" w:sz="8" w:space="0"/>
            </w:tcBorders>
            <w:shd w:val="clear" w:color="auto" w:fill="auto"/>
            <w:vAlign w:val="center"/>
          </w:tcPr>
          <w:p w14:paraId="495C0930">
            <w:pPr>
              <w:spacing w:line="240" w:lineRule="auto"/>
              <w:jc w:val="center"/>
              <w:rPr>
                <w:rFonts w:hint="eastAsia" w:ascii="宋体" w:hAnsi="宋体"/>
                <w:sz w:val="18"/>
                <w:szCs w:val="18"/>
              </w:rPr>
            </w:pPr>
            <w:r>
              <w:rPr>
                <w:rFonts w:hint="eastAsia" w:ascii="宋体" w:hAnsi="宋体"/>
                <w:sz w:val="18"/>
                <w:szCs w:val="18"/>
              </w:rPr>
              <w:t>单机公称排气量（</w:t>
            </w:r>
            <w:r>
              <w:rPr>
                <w:rFonts w:hint="eastAsia" w:ascii="宋体" w:hAnsi="宋体"/>
                <w:kern w:val="0"/>
                <w:sz w:val="18"/>
                <w:szCs w:val="18"/>
              </w:rPr>
              <w:t>m</w:t>
            </w:r>
            <w:r>
              <w:rPr>
                <w:rFonts w:hint="eastAsia" w:ascii="宋体" w:hAnsi="宋体"/>
                <w:kern w:val="0"/>
                <w:sz w:val="18"/>
                <w:szCs w:val="18"/>
                <w:vertAlign w:val="superscript"/>
              </w:rPr>
              <w:t>3</w:t>
            </w:r>
            <w:r>
              <w:rPr>
                <w:rFonts w:hint="eastAsia" w:ascii="宋体" w:hAnsi="宋体"/>
                <w:sz w:val="18"/>
                <w:szCs w:val="18"/>
              </w:rPr>
              <w:t>/min）</w:t>
            </w:r>
          </w:p>
        </w:tc>
        <w:tc>
          <w:tcPr>
            <w:tcW w:w="3207" w:type="pct"/>
            <w:gridSpan w:val="2"/>
            <w:tcBorders>
              <w:top w:val="single" w:color="auto" w:sz="8" w:space="0"/>
            </w:tcBorders>
            <w:shd w:val="clear" w:color="auto" w:fill="auto"/>
            <w:vAlign w:val="center"/>
          </w:tcPr>
          <w:p w14:paraId="6AD95E23">
            <w:pPr>
              <w:spacing w:line="240" w:lineRule="auto"/>
              <w:jc w:val="center"/>
              <w:rPr>
                <w:rFonts w:hint="eastAsia" w:ascii="宋体" w:hAnsi="宋体"/>
                <w:sz w:val="18"/>
                <w:szCs w:val="18"/>
              </w:rPr>
            </w:pPr>
            <w:r>
              <w:rPr>
                <w:rFonts w:hint="eastAsia" w:ascii="宋体" w:hAnsi="宋体"/>
                <w:sz w:val="18"/>
                <w:szCs w:val="18"/>
              </w:rPr>
              <w:t>压缩空气站用电单耗</w:t>
            </w:r>
          </w:p>
          <w:p w14:paraId="2FFD4D8A">
            <w:pPr>
              <w:spacing w:line="240" w:lineRule="auto"/>
              <w:jc w:val="center"/>
              <w:rPr>
                <w:rFonts w:hint="eastAsia" w:ascii="宋体" w:hAnsi="宋体"/>
                <w:sz w:val="18"/>
                <w:szCs w:val="18"/>
              </w:rPr>
            </w:pPr>
            <w:r>
              <w:rPr>
                <w:rFonts w:hint="eastAsia" w:ascii="宋体" w:hAnsi="宋体"/>
                <w:sz w:val="18"/>
                <w:szCs w:val="18"/>
              </w:rPr>
              <w:t>（</w:t>
            </w:r>
            <w:r>
              <w:rPr>
                <w:rFonts w:ascii="宋体" w:hAnsi="宋体"/>
                <w:sz w:val="18"/>
                <w:szCs w:val="18"/>
              </w:rPr>
              <w:t>kW</w:t>
            </w:r>
            <w:r>
              <w:rPr>
                <w:rFonts w:hint="default" w:ascii="Times New Roman" w:hAnsi="Times New Roman" w:cs="Times New Roman"/>
                <w:sz w:val="18"/>
                <w:szCs w:val="18"/>
              </w:rPr>
              <w:t>·</w:t>
            </w:r>
            <w:r>
              <w:rPr>
                <w:rFonts w:ascii="宋体" w:hAnsi="宋体"/>
                <w:sz w:val="18"/>
                <w:szCs w:val="18"/>
              </w:rPr>
              <w:t>h /m</w:t>
            </w:r>
            <w:r>
              <w:rPr>
                <w:rFonts w:ascii="宋体" w:hAnsi="宋体"/>
                <w:sz w:val="18"/>
                <w:szCs w:val="18"/>
                <w:vertAlign w:val="superscript"/>
              </w:rPr>
              <w:t>3</w:t>
            </w:r>
            <w:r>
              <w:rPr>
                <w:rFonts w:hint="eastAsia" w:ascii="宋体" w:hAnsi="宋体"/>
                <w:sz w:val="18"/>
                <w:szCs w:val="18"/>
              </w:rPr>
              <w:t>）</w:t>
            </w:r>
          </w:p>
        </w:tc>
      </w:tr>
      <w:tr w14:paraId="6DC843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1792" w:type="pct"/>
            <w:vMerge w:val="continue"/>
            <w:shd w:val="clear" w:color="auto" w:fill="auto"/>
            <w:vAlign w:val="center"/>
          </w:tcPr>
          <w:p w14:paraId="13D11A5F">
            <w:pPr>
              <w:spacing w:line="240" w:lineRule="auto"/>
              <w:jc w:val="center"/>
              <w:rPr>
                <w:rFonts w:hint="eastAsia" w:ascii="宋体" w:hAnsi="宋体"/>
                <w:sz w:val="18"/>
                <w:szCs w:val="18"/>
              </w:rPr>
            </w:pPr>
          </w:p>
        </w:tc>
        <w:tc>
          <w:tcPr>
            <w:tcW w:w="1602" w:type="pct"/>
            <w:shd w:val="clear" w:color="auto" w:fill="auto"/>
            <w:vAlign w:val="center"/>
          </w:tcPr>
          <w:p w14:paraId="57ED76D1">
            <w:pPr>
              <w:spacing w:line="240" w:lineRule="auto"/>
              <w:jc w:val="center"/>
              <w:rPr>
                <w:rFonts w:hint="eastAsia" w:ascii="宋体" w:hAnsi="宋体"/>
                <w:sz w:val="18"/>
                <w:szCs w:val="18"/>
              </w:rPr>
            </w:pPr>
            <w:r>
              <w:rPr>
                <w:rFonts w:hint="eastAsia" w:ascii="宋体" w:hAnsi="宋体"/>
                <w:sz w:val="18"/>
                <w:szCs w:val="18"/>
              </w:rPr>
              <w:t>风冷</w:t>
            </w:r>
          </w:p>
        </w:tc>
        <w:tc>
          <w:tcPr>
            <w:tcW w:w="1605" w:type="pct"/>
            <w:shd w:val="clear" w:color="auto" w:fill="auto"/>
            <w:vAlign w:val="center"/>
          </w:tcPr>
          <w:p w14:paraId="4BF414A1">
            <w:pPr>
              <w:spacing w:line="240" w:lineRule="auto"/>
              <w:jc w:val="center"/>
              <w:rPr>
                <w:rFonts w:hint="eastAsia" w:ascii="宋体" w:hAnsi="宋体"/>
                <w:sz w:val="18"/>
                <w:szCs w:val="18"/>
              </w:rPr>
            </w:pPr>
            <w:r>
              <w:rPr>
                <w:rFonts w:hint="eastAsia" w:ascii="宋体" w:hAnsi="宋体"/>
                <w:sz w:val="18"/>
                <w:szCs w:val="18"/>
              </w:rPr>
              <w:t>水冷</w:t>
            </w:r>
          </w:p>
        </w:tc>
      </w:tr>
      <w:tr w14:paraId="2B25A8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1792" w:type="pct"/>
            <w:shd w:val="clear" w:color="auto" w:fill="auto"/>
            <w:vAlign w:val="center"/>
          </w:tcPr>
          <w:p w14:paraId="36C3E5E9">
            <w:pPr>
              <w:widowControl/>
              <w:jc w:val="center"/>
              <w:rPr>
                <w:rFonts w:hint="eastAsia" w:ascii="宋体" w:hAnsi="宋体"/>
                <w:sz w:val="18"/>
                <w:szCs w:val="18"/>
              </w:rPr>
            </w:pPr>
            <w:r>
              <w:rPr>
                <w:rFonts w:hint="eastAsia" w:ascii="宋体" w:hAnsi="宋体"/>
                <w:sz w:val="18"/>
                <w:szCs w:val="18"/>
              </w:rPr>
              <w:t>≥10</w:t>
            </w:r>
            <w:r>
              <w:rPr>
                <w:rFonts w:ascii="F5" w:hAnsi="F5" w:eastAsia="F5" w:cs="F5"/>
                <w:kern w:val="0"/>
                <w:sz w:val="18"/>
                <w:szCs w:val="18"/>
              </w:rPr>
              <w:t>～</w:t>
            </w:r>
            <w:r>
              <w:rPr>
                <w:rFonts w:hint="eastAsia" w:ascii="宋体" w:hAnsi="宋体"/>
                <w:sz w:val="18"/>
                <w:szCs w:val="18"/>
              </w:rPr>
              <w:t>＜20</w:t>
            </w:r>
          </w:p>
        </w:tc>
        <w:tc>
          <w:tcPr>
            <w:tcW w:w="1602" w:type="pct"/>
            <w:shd w:val="clear" w:color="auto" w:fill="auto"/>
            <w:vAlign w:val="center"/>
          </w:tcPr>
          <w:p w14:paraId="1457F9FB">
            <w:pPr>
              <w:spacing w:line="240" w:lineRule="auto"/>
              <w:jc w:val="center"/>
              <w:rPr>
                <w:rFonts w:hint="eastAsia" w:ascii="宋体" w:hAnsi="宋体"/>
                <w:sz w:val="18"/>
                <w:szCs w:val="18"/>
              </w:rPr>
            </w:pPr>
            <w:r>
              <w:rPr>
                <w:rFonts w:hint="eastAsia" w:ascii="宋体" w:hAnsi="宋体"/>
                <w:sz w:val="18"/>
                <w:szCs w:val="18"/>
              </w:rPr>
              <w:t xml:space="preserve">≤ </w:t>
            </w:r>
            <w:r>
              <w:rPr>
                <w:rFonts w:hint="eastAsia" w:ascii="宋体" w:hAnsi="宋体"/>
                <w:kern w:val="0"/>
                <w:sz w:val="18"/>
                <w:szCs w:val="18"/>
              </w:rPr>
              <w:t>0.105</w:t>
            </w:r>
          </w:p>
        </w:tc>
        <w:tc>
          <w:tcPr>
            <w:tcW w:w="1605" w:type="pct"/>
            <w:shd w:val="clear" w:color="auto" w:fill="auto"/>
            <w:vAlign w:val="center"/>
          </w:tcPr>
          <w:p w14:paraId="0E1DDFF6">
            <w:pPr>
              <w:spacing w:line="240" w:lineRule="auto"/>
              <w:jc w:val="center"/>
              <w:rPr>
                <w:rFonts w:hint="eastAsia" w:ascii="宋体" w:hAnsi="宋体"/>
                <w:sz w:val="18"/>
                <w:szCs w:val="18"/>
              </w:rPr>
            </w:pPr>
            <w:r>
              <w:rPr>
                <w:rFonts w:hint="eastAsia" w:ascii="宋体" w:hAnsi="宋体"/>
                <w:sz w:val="18"/>
                <w:szCs w:val="18"/>
              </w:rPr>
              <w:t xml:space="preserve">≤ </w:t>
            </w:r>
            <w:r>
              <w:rPr>
                <w:rFonts w:hint="eastAsia" w:ascii="宋体" w:hAnsi="宋体"/>
                <w:kern w:val="0"/>
                <w:sz w:val="18"/>
                <w:szCs w:val="18"/>
              </w:rPr>
              <w:t>0.106</w:t>
            </w:r>
          </w:p>
        </w:tc>
      </w:tr>
      <w:tr w14:paraId="5227CA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1792" w:type="pct"/>
            <w:shd w:val="clear" w:color="auto" w:fill="auto"/>
            <w:vAlign w:val="center"/>
          </w:tcPr>
          <w:p w14:paraId="5EC4B330">
            <w:pPr>
              <w:spacing w:line="240" w:lineRule="auto"/>
              <w:jc w:val="center"/>
              <w:rPr>
                <w:rFonts w:hint="eastAsia" w:ascii="宋体" w:hAnsi="宋体"/>
                <w:sz w:val="18"/>
                <w:szCs w:val="18"/>
              </w:rPr>
            </w:pPr>
            <w:r>
              <w:rPr>
                <w:rFonts w:hint="eastAsia" w:ascii="宋体" w:hAnsi="宋体"/>
                <w:sz w:val="18"/>
                <w:szCs w:val="18"/>
              </w:rPr>
              <w:t>≥20</w:t>
            </w:r>
            <w:r>
              <w:rPr>
                <w:rFonts w:ascii="F5" w:hAnsi="F5" w:eastAsia="F5" w:cs="F5"/>
                <w:kern w:val="0"/>
                <w:sz w:val="18"/>
                <w:szCs w:val="18"/>
              </w:rPr>
              <w:t>～</w:t>
            </w:r>
            <w:r>
              <w:rPr>
                <w:rFonts w:hint="eastAsia" w:ascii="宋体" w:hAnsi="宋体"/>
                <w:sz w:val="18"/>
                <w:szCs w:val="18"/>
              </w:rPr>
              <w:t>＜40</w:t>
            </w:r>
          </w:p>
        </w:tc>
        <w:tc>
          <w:tcPr>
            <w:tcW w:w="1602" w:type="pct"/>
            <w:shd w:val="clear" w:color="auto" w:fill="auto"/>
            <w:vAlign w:val="center"/>
          </w:tcPr>
          <w:p w14:paraId="3B1B1713">
            <w:pPr>
              <w:spacing w:line="240" w:lineRule="auto"/>
              <w:jc w:val="center"/>
              <w:rPr>
                <w:rFonts w:hint="eastAsia" w:ascii="宋体" w:hAnsi="宋体"/>
                <w:sz w:val="18"/>
                <w:szCs w:val="18"/>
              </w:rPr>
            </w:pPr>
            <w:r>
              <w:rPr>
                <w:rFonts w:hint="eastAsia" w:ascii="宋体" w:hAnsi="宋体"/>
                <w:sz w:val="18"/>
                <w:szCs w:val="18"/>
              </w:rPr>
              <w:t xml:space="preserve">≤ </w:t>
            </w:r>
            <w:r>
              <w:rPr>
                <w:rFonts w:hint="eastAsia" w:ascii="宋体" w:hAnsi="宋体"/>
                <w:kern w:val="0"/>
                <w:sz w:val="18"/>
                <w:szCs w:val="18"/>
              </w:rPr>
              <w:t>0.099</w:t>
            </w:r>
          </w:p>
        </w:tc>
        <w:tc>
          <w:tcPr>
            <w:tcW w:w="1605" w:type="pct"/>
            <w:shd w:val="clear" w:color="auto" w:fill="auto"/>
            <w:vAlign w:val="center"/>
          </w:tcPr>
          <w:p w14:paraId="1950F731">
            <w:pPr>
              <w:spacing w:line="240" w:lineRule="auto"/>
              <w:jc w:val="center"/>
              <w:rPr>
                <w:rFonts w:hint="eastAsia" w:ascii="宋体" w:hAnsi="宋体"/>
                <w:sz w:val="18"/>
                <w:szCs w:val="18"/>
              </w:rPr>
            </w:pPr>
            <w:r>
              <w:rPr>
                <w:rFonts w:hint="eastAsia" w:ascii="宋体" w:hAnsi="宋体"/>
                <w:sz w:val="18"/>
                <w:szCs w:val="18"/>
              </w:rPr>
              <w:t xml:space="preserve">≤ </w:t>
            </w:r>
            <w:r>
              <w:rPr>
                <w:rFonts w:hint="eastAsia" w:ascii="宋体" w:hAnsi="宋体"/>
                <w:kern w:val="0"/>
                <w:sz w:val="18"/>
                <w:szCs w:val="18"/>
              </w:rPr>
              <w:t>0.104</w:t>
            </w:r>
          </w:p>
        </w:tc>
      </w:tr>
      <w:tr w14:paraId="48648B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1792" w:type="pct"/>
            <w:shd w:val="clear" w:color="auto" w:fill="auto"/>
            <w:vAlign w:val="center"/>
          </w:tcPr>
          <w:p w14:paraId="5B951BF6">
            <w:pPr>
              <w:spacing w:line="240" w:lineRule="auto"/>
              <w:jc w:val="center"/>
              <w:rPr>
                <w:rFonts w:hint="eastAsia" w:ascii="宋体" w:hAnsi="宋体"/>
                <w:sz w:val="18"/>
                <w:szCs w:val="18"/>
              </w:rPr>
            </w:pPr>
            <w:r>
              <w:rPr>
                <w:rFonts w:hint="eastAsia" w:ascii="宋体" w:hAnsi="宋体"/>
                <w:sz w:val="18"/>
                <w:szCs w:val="18"/>
              </w:rPr>
              <w:t>≥40</w:t>
            </w:r>
          </w:p>
        </w:tc>
        <w:tc>
          <w:tcPr>
            <w:tcW w:w="1602" w:type="pct"/>
            <w:shd w:val="clear" w:color="auto" w:fill="auto"/>
            <w:vAlign w:val="center"/>
          </w:tcPr>
          <w:p w14:paraId="025EA348">
            <w:pPr>
              <w:spacing w:line="240" w:lineRule="auto"/>
              <w:jc w:val="center"/>
              <w:rPr>
                <w:rFonts w:hint="eastAsia" w:ascii="宋体" w:hAnsi="宋体"/>
                <w:sz w:val="18"/>
                <w:szCs w:val="18"/>
              </w:rPr>
            </w:pPr>
            <w:r>
              <w:rPr>
                <w:rFonts w:hint="eastAsia" w:ascii="宋体" w:hAnsi="宋体"/>
                <w:sz w:val="18"/>
                <w:szCs w:val="18"/>
              </w:rPr>
              <w:t xml:space="preserve">≤ </w:t>
            </w:r>
            <w:r>
              <w:rPr>
                <w:rFonts w:hint="eastAsia" w:ascii="宋体" w:hAnsi="宋体"/>
                <w:kern w:val="0"/>
                <w:sz w:val="18"/>
                <w:szCs w:val="18"/>
              </w:rPr>
              <w:t>0.097</w:t>
            </w:r>
          </w:p>
        </w:tc>
        <w:tc>
          <w:tcPr>
            <w:tcW w:w="1605" w:type="pct"/>
            <w:shd w:val="clear" w:color="auto" w:fill="auto"/>
            <w:vAlign w:val="center"/>
          </w:tcPr>
          <w:p w14:paraId="03AABEC0">
            <w:pPr>
              <w:spacing w:line="240" w:lineRule="auto"/>
              <w:jc w:val="center"/>
              <w:rPr>
                <w:rFonts w:hint="eastAsia" w:ascii="宋体" w:hAnsi="宋体"/>
                <w:sz w:val="18"/>
                <w:szCs w:val="18"/>
              </w:rPr>
            </w:pPr>
            <w:r>
              <w:rPr>
                <w:rFonts w:hint="eastAsia" w:ascii="宋体" w:hAnsi="宋体"/>
                <w:sz w:val="18"/>
                <w:szCs w:val="18"/>
              </w:rPr>
              <w:t xml:space="preserve">≤ </w:t>
            </w:r>
            <w:r>
              <w:rPr>
                <w:rFonts w:hint="eastAsia" w:ascii="宋体" w:hAnsi="宋体"/>
                <w:kern w:val="0"/>
                <w:sz w:val="18"/>
                <w:szCs w:val="18"/>
              </w:rPr>
              <w:t>0.103</w:t>
            </w:r>
          </w:p>
        </w:tc>
      </w:tr>
    </w:tbl>
    <w:p w14:paraId="5437E84D">
      <w:pPr>
        <w:pStyle w:val="108"/>
        <w:spacing w:before="156" w:after="156"/>
      </w:pPr>
      <w:bookmarkStart w:id="602" w:name="_Toc175690968"/>
      <w:bookmarkStart w:id="603" w:name="_Toc25309"/>
      <w:bookmarkStart w:id="604" w:name="_Toc4132"/>
      <w:bookmarkStart w:id="605" w:name="_Toc10652"/>
      <w:bookmarkStart w:id="606" w:name="_Toc175504982"/>
      <w:r>
        <w:rPr>
          <w:rFonts w:hint="eastAsia"/>
        </w:rPr>
        <w:t>宾馆</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7FD7BA6B">
      <w:pPr>
        <w:pStyle w:val="68"/>
        <w:spacing w:before="156" w:after="156"/>
      </w:pPr>
      <w:r>
        <w:rPr>
          <w:rFonts w:hint="eastAsia"/>
        </w:rPr>
        <w:t>适用对象</w:t>
      </w:r>
    </w:p>
    <w:p w14:paraId="1217A305">
      <w:pPr>
        <w:pStyle w:val="59"/>
        <w:ind w:firstLine="420"/>
      </w:pPr>
      <w:r>
        <w:rPr>
          <w:rFonts w:hint="eastAsia"/>
        </w:rPr>
        <w:t>适用于正在运行中的既有的三星级至五星级的宾馆能源消耗量的计算与评价。</w:t>
      </w:r>
    </w:p>
    <w:p w14:paraId="2FD5ABF1">
      <w:pPr>
        <w:pStyle w:val="68"/>
        <w:spacing w:before="156" w:after="156"/>
      </w:pPr>
      <w:r>
        <w:rPr>
          <w:rFonts w:hint="eastAsia"/>
        </w:rPr>
        <w:t>宾馆单位面积综合能耗限定值</w:t>
      </w:r>
    </w:p>
    <w:p w14:paraId="33320E13">
      <w:pPr>
        <w:pStyle w:val="59"/>
        <w:ind w:firstLine="420"/>
      </w:pPr>
      <w:r>
        <w:rPr>
          <w:rFonts w:hint="eastAsia"/>
        </w:rPr>
        <w:t>宾馆单位面积综合能耗限定值应符合表34的规定。</w:t>
      </w:r>
    </w:p>
    <w:p w14:paraId="2252BA5B">
      <w:pPr>
        <w:pStyle w:val="115"/>
        <w:spacing w:before="156" w:after="156"/>
      </w:pPr>
      <w:r>
        <w:rPr>
          <w:rFonts w:hint="eastAsia"/>
        </w:rPr>
        <w:t>宾馆单位面积综合能耗限定值</w:t>
      </w:r>
    </w:p>
    <w:tbl>
      <w:tblPr>
        <w:tblStyle w:val="28"/>
        <w:tblW w:w="0" w:type="auto"/>
        <w:tblInd w:w="135"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4308"/>
        <w:gridCol w:w="5021"/>
      </w:tblGrid>
      <w:tr w14:paraId="42CD1C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4308" w:type="dxa"/>
            <w:tcBorders>
              <w:top w:val="single" w:color="auto" w:sz="8" w:space="0"/>
              <w:bottom w:val="single" w:color="auto" w:sz="8" w:space="0"/>
            </w:tcBorders>
            <w:shd w:val="clear" w:color="auto" w:fill="auto"/>
            <w:vAlign w:val="center"/>
          </w:tcPr>
          <w:p w14:paraId="5AC40B86">
            <w:pPr>
              <w:spacing w:line="240" w:lineRule="auto"/>
              <w:jc w:val="center"/>
              <w:rPr>
                <w:rFonts w:hint="eastAsia" w:ascii="宋体" w:hAnsi="宋体"/>
                <w:sz w:val="18"/>
                <w:szCs w:val="18"/>
              </w:rPr>
            </w:pPr>
            <w:r>
              <w:rPr>
                <w:rFonts w:hint="eastAsia" w:ascii="宋体" w:hAnsi="宋体"/>
                <w:sz w:val="18"/>
                <w:szCs w:val="18"/>
              </w:rPr>
              <w:t>宾馆类型</w:t>
            </w:r>
          </w:p>
        </w:tc>
        <w:tc>
          <w:tcPr>
            <w:tcW w:w="5021" w:type="dxa"/>
            <w:tcBorders>
              <w:top w:val="single" w:color="auto" w:sz="8" w:space="0"/>
              <w:bottom w:val="single" w:color="auto" w:sz="8" w:space="0"/>
            </w:tcBorders>
            <w:shd w:val="clear" w:color="auto" w:fill="auto"/>
            <w:vAlign w:val="center"/>
          </w:tcPr>
          <w:p w14:paraId="2DFB050C">
            <w:pPr>
              <w:spacing w:line="240" w:lineRule="auto"/>
              <w:jc w:val="center"/>
              <w:rPr>
                <w:rFonts w:hint="eastAsia" w:ascii="宋体" w:hAnsi="宋体"/>
                <w:sz w:val="18"/>
                <w:szCs w:val="18"/>
              </w:rPr>
            </w:pPr>
            <w:r>
              <w:rPr>
                <w:rFonts w:hint="eastAsia" w:ascii="宋体" w:hAnsi="宋体"/>
                <w:sz w:val="18"/>
                <w:szCs w:val="18"/>
              </w:rPr>
              <w:t>单位面积综合能耗限定值</w:t>
            </w:r>
          </w:p>
          <w:p w14:paraId="11FD7062">
            <w:pPr>
              <w:spacing w:line="240" w:lineRule="auto"/>
              <w:jc w:val="center"/>
              <w:rPr>
                <w:rFonts w:hint="eastAsia" w:ascii="宋体" w:hAnsi="宋体"/>
                <w:sz w:val="18"/>
                <w:szCs w:val="18"/>
              </w:rPr>
            </w:pPr>
            <w:r>
              <w:rPr>
                <w:rFonts w:hint="eastAsia" w:ascii="宋体" w:hAnsi="宋体"/>
                <w:sz w:val="18"/>
                <w:szCs w:val="18"/>
              </w:rPr>
              <w:t>kgce/m</w:t>
            </w:r>
            <w:r>
              <w:rPr>
                <w:rFonts w:hint="eastAsia" w:ascii="宋体" w:hAnsi="宋体"/>
                <w:sz w:val="18"/>
                <w:szCs w:val="18"/>
                <w:vertAlign w:val="superscript"/>
              </w:rPr>
              <w:t>2</w:t>
            </w:r>
          </w:p>
        </w:tc>
      </w:tr>
      <w:tr w14:paraId="37EB95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4308" w:type="dxa"/>
            <w:tcBorders>
              <w:top w:val="single" w:color="auto" w:sz="8" w:space="0"/>
            </w:tcBorders>
            <w:shd w:val="clear" w:color="auto" w:fill="auto"/>
            <w:vAlign w:val="center"/>
          </w:tcPr>
          <w:p w14:paraId="51DD26DE">
            <w:pPr>
              <w:spacing w:line="240" w:lineRule="auto"/>
              <w:jc w:val="center"/>
              <w:rPr>
                <w:rFonts w:hint="eastAsia" w:ascii="宋体" w:hAnsi="宋体"/>
                <w:sz w:val="18"/>
                <w:szCs w:val="18"/>
              </w:rPr>
            </w:pPr>
            <w:r>
              <w:rPr>
                <w:rFonts w:hint="eastAsia" w:ascii="宋体" w:hAnsi="宋体"/>
                <w:sz w:val="18"/>
                <w:szCs w:val="18"/>
              </w:rPr>
              <w:t>五星级宾馆</w:t>
            </w:r>
          </w:p>
        </w:tc>
        <w:tc>
          <w:tcPr>
            <w:tcW w:w="5021" w:type="dxa"/>
            <w:tcBorders>
              <w:top w:val="single" w:color="auto" w:sz="8" w:space="0"/>
            </w:tcBorders>
            <w:shd w:val="clear" w:color="auto" w:fill="auto"/>
            <w:vAlign w:val="center"/>
          </w:tcPr>
          <w:p w14:paraId="2C28E525">
            <w:pPr>
              <w:spacing w:line="240" w:lineRule="auto"/>
              <w:jc w:val="center"/>
              <w:rPr>
                <w:rFonts w:hint="eastAsia" w:ascii="宋体" w:hAnsi="宋体"/>
                <w:sz w:val="18"/>
                <w:szCs w:val="18"/>
              </w:rPr>
            </w:pPr>
            <w:r>
              <w:rPr>
                <w:rFonts w:hint="eastAsia" w:ascii="宋体" w:hAnsi="宋体"/>
                <w:sz w:val="18"/>
                <w:szCs w:val="18"/>
              </w:rPr>
              <w:t>≤ 54</w:t>
            </w:r>
          </w:p>
        </w:tc>
      </w:tr>
      <w:tr w14:paraId="217139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4308" w:type="dxa"/>
            <w:shd w:val="clear" w:color="auto" w:fill="auto"/>
            <w:vAlign w:val="center"/>
          </w:tcPr>
          <w:p w14:paraId="63DCFABB">
            <w:pPr>
              <w:spacing w:line="240" w:lineRule="auto"/>
              <w:jc w:val="center"/>
              <w:rPr>
                <w:rFonts w:hint="eastAsia" w:ascii="宋体" w:hAnsi="宋体"/>
                <w:sz w:val="18"/>
                <w:szCs w:val="18"/>
              </w:rPr>
            </w:pPr>
            <w:r>
              <w:rPr>
                <w:rFonts w:hint="eastAsia" w:ascii="宋体" w:hAnsi="宋体"/>
                <w:sz w:val="18"/>
                <w:szCs w:val="18"/>
              </w:rPr>
              <w:t>四星级宾馆</w:t>
            </w:r>
          </w:p>
        </w:tc>
        <w:tc>
          <w:tcPr>
            <w:tcW w:w="5021" w:type="dxa"/>
            <w:shd w:val="clear" w:color="auto" w:fill="auto"/>
            <w:vAlign w:val="center"/>
          </w:tcPr>
          <w:p w14:paraId="2F8BCE2C">
            <w:pPr>
              <w:spacing w:line="240" w:lineRule="auto"/>
              <w:jc w:val="center"/>
              <w:rPr>
                <w:rFonts w:hint="eastAsia" w:ascii="宋体" w:hAnsi="宋体"/>
                <w:sz w:val="18"/>
                <w:szCs w:val="18"/>
              </w:rPr>
            </w:pPr>
            <w:r>
              <w:rPr>
                <w:rFonts w:hint="eastAsia" w:ascii="宋体" w:hAnsi="宋体"/>
                <w:sz w:val="18"/>
                <w:szCs w:val="18"/>
              </w:rPr>
              <w:t>≤ 46</w:t>
            </w:r>
          </w:p>
        </w:tc>
      </w:tr>
      <w:tr w14:paraId="21C5F4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4308" w:type="dxa"/>
            <w:shd w:val="clear" w:color="auto" w:fill="auto"/>
            <w:vAlign w:val="center"/>
          </w:tcPr>
          <w:p w14:paraId="0FBB13E6">
            <w:pPr>
              <w:spacing w:line="240" w:lineRule="auto"/>
              <w:jc w:val="center"/>
              <w:rPr>
                <w:rFonts w:hint="eastAsia" w:ascii="宋体" w:hAnsi="宋体"/>
                <w:sz w:val="18"/>
                <w:szCs w:val="18"/>
              </w:rPr>
            </w:pPr>
            <w:r>
              <w:rPr>
                <w:rFonts w:hint="eastAsia" w:ascii="宋体" w:hAnsi="宋体"/>
                <w:sz w:val="18"/>
                <w:szCs w:val="18"/>
              </w:rPr>
              <w:t>三星级宾馆</w:t>
            </w:r>
          </w:p>
        </w:tc>
        <w:tc>
          <w:tcPr>
            <w:tcW w:w="5021" w:type="dxa"/>
            <w:shd w:val="clear" w:color="auto" w:fill="auto"/>
            <w:vAlign w:val="center"/>
          </w:tcPr>
          <w:p w14:paraId="16F72152">
            <w:pPr>
              <w:spacing w:line="240" w:lineRule="auto"/>
              <w:jc w:val="center"/>
              <w:rPr>
                <w:rFonts w:hint="eastAsia" w:ascii="宋体" w:hAnsi="宋体"/>
                <w:sz w:val="18"/>
                <w:szCs w:val="18"/>
              </w:rPr>
            </w:pPr>
            <w:r>
              <w:rPr>
                <w:rFonts w:hint="eastAsia" w:ascii="宋体" w:hAnsi="宋体"/>
                <w:sz w:val="18"/>
                <w:szCs w:val="18"/>
              </w:rPr>
              <w:t>≤ 39</w:t>
            </w:r>
          </w:p>
        </w:tc>
      </w:tr>
      <w:tr w14:paraId="2C7EBF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9329" w:type="dxa"/>
            <w:gridSpan w:val="2"/>
            <w:shd w:val="clear" w:color="auto" w:fill="auto"/>
            <w:vAlign w:val="center"/>
          </w:tcPr>
          <w:p w14:paraId="4235FEDA">
            <w:pPr>
              <w:pStyle w:val="182"/>
            </w:pPr>
            <w:r>
              <w:rPr>
                <w:rFonts w:hint="eastAsia"/>
              </w:rPr>
              <w:t>宾馆内设有热水游泳池，容积在200 m</w:t>
            </w:r>
            <w:r>
              <w:rPr>
                <w:rFonts w:hint="eastAsia"/>
                <w:vertAlign w:val="superscript"/>
              </w:rPr>
              <w:t>3</w:t>
            </w:r>
            <w:r>
              <w:rPr>
                <w:rFonts w:hint="eastAsia"/>
              </w:rPr>
              <w:t>以上，限定值乘以修正系数1.15。</w:t>
            </w:r>
          </w:p>
        </w:tc>
      </w:tr>
    </w:tbl>
    <w:p w14:paraId="1576DE82">
      <w:pPr>
        <w:pStyle w:val="108"/>
        <w:spacing w:before="156" w:after="156"/>
      </w:pPr>
      <w:bookmarkStart w:id="607" w:name="_Toc175690969"/>
      <w:bookmarkStart w:id="608" w:name="_Toc483588230"/>
      <w:bookmarkStart w:id="609" w:name="_Toc492372648"/>
      <w:bookmarkStart w:id="610" w:name="_Toc483398326"/>
      <w:bookmarkStart w:id="611" w:name="_Toc483578737"/>
      <w:bookmarkStart w:id="612" w:name="_Toc7787"/>
      <w:bookmarkStart w:id="613" w:name="_Toc175504983"/>
      <w:bookmarkStart w:id="614" w:name="_Toc483588766"/>
      <w:bookmarkStart w:id="615" w:name="_Toc26870"/>
      <w:bookmarkStart w:id="616" w:name="_Toc30569"/>
      <w:bookmarkStart w:id="617" w:name="_Toc492372502"/>
      <w:bookmarkStart w:id="618" w:name="_Toc496771333"/>
      <w:bookmarkStart w:id="619" w:name="_Toc502760537"/>
      <w:bookmarkStart w:id="620" w:name="_Toc496881070"/>
      <w:r>
        <w:rPr>
          <w:rFonts w:hint="eastAsia"/>
        </w:rPr>
        <w:t>商场</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0C42D754">
      <w:pPr>
        <w:pStyle w:val="68"/>
        <w:spacing w:before="156" w:after="156"/>
      </w:pPr>
      <w:r>
        <w:rPr>
          <w:rFonts w:hint="eastAsia"/>
        </w:rPr>
        <w:t>适用对象</w:t>
      </w:r>
    </w:p>
    <w:p w14:paraId="7B4B6A88">
      <w:pPr>
        <w:pStyle w:val="59"/>
        <w:ind w:firstLine="420"/>
      </w:pPr>
      <w:r>
        <w:rPr>
          <w:rFonts w:hint="eastAsia"/>
        </w:rPr>
        <w:t>适用于营业面积≥10000平方米的商场电力消耗量的计算与评价。</w:t>
      </w:r>
    </w:p>
    <w:p w14:paraId="1742EC61">
      <w:pPr>
        <w:pStyle w:val="68"/>
        <w:spacing w:before="156" w:after="156"/>
      </w:pPr>
      <w:r>
        <w:rPr>
          <w:rFonts w:hint="eastAsia"/>
        </w:rPr>
        <w:t>商场单位建筑面积综合电耗限定值</w:t>
      </w:r>
    </w:p>
    <w:p w14:paraId="7D72FA36">
      <w:pPr>
        <w:pStyle w:val="59"/>
        <w:ind w:firstLine="420"/>
      </w:pPr>
      <w:r>
        <w:rPr>
          <w:rFonts w:hint="eastAsia"/>
        </w:rPr>
        <w:t>商场单位建筑面积综合电耗限定值应符合表35的规定。</w:t>
      </w:r>
    </w:p>
    <w:p w14:paraId="3EF5D391">
      <w:pPr>
        <w:pStyle w:val="115"/>
        <w:spacing w:before="156" w:after="156"/>
      </w:pPr>
      <w:r>
        <w:rPr>
          <w:rFonts w:hint="eastAsia"/>
        </w:rPr>
        <w:t>商场单位建筑面积综合电耗限定值</w:t>
      </w:r>
    </w:p>
    <w:tbl>
      <w:tblPr>
        <w:tblStyle w:val="28"/>
        <w:tblW w:w="9329" w:type="dxa"/>
        <w:tblInd w:w="135"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4308"/>
        <w:gridCol w:w="5021"/>
      </w:tblGrid>
      <w:tr w14:paraId="217034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4308" w:type="dxa"/>
            <w:tcBorders>
              <w:top w:val="single" w:color="auto" w:sz="8" w:space="0"/>
              <w:bottom w:val="single" w:color="auto" w:sz="8" w:space="0"/>
            </w:tcBorders>
            <w:shd w:val="clear" w:color="auto" w:fill="auto"/>
            <w:vAlign w:val="center"/>
          </w:tcPr>
          <w:p w14:paraId="77C23584">
            <w:pPr>
              <w:spacing w:line="240" w:lineRule="auto"/>
              <w:jc w:val="center"/>
              <w:rPr>
                <w:rFonts w:hint="eastAsia" w:ascii="宋体" w:hAnsi="宋体"/>
                <w:sz w:val="18"/>
                <w:szCs w:val="18"/>
              </w:rPr>
            </w:pPr>
            <w:r>
              <w:rPr>
                <w:rFonts w:hint="eastAsia" w:ascii="宋体" w:hAnsi="宋体"/>
                <w:sz w:val="18"/>
                <w:szCs w:val="18"/>
              </w:rPr>
              <w:t>项  目</w:t>
            </w:r>
          </w:p>
        </w:tc>
        <w:tc>
          <w:tcPr>
            <w:tcW w:w="5021" w:type="dxa"/>
            <w:tcBorders>
              <w:top w:val="single" w:color="auto" w:sz="8" w:space="0"/>
              <w:bottom w:val="single" w:color="auto" w:sz="8" w:space="0"/>
            </w:tcBorders>
            <w:shd w:val="clear" w:color="auto" w:fill="auto"/>
            <w:vAlign w:val="center"/>
          </w:tcPr>
          <w:p w14:paraId="708C12F8">
            <w:pPr>
              <w:spacing w:line="240" w:lineRule="auto"/>
              <w:jc w:val="center"/>
              <w:rPr>
                <w:rFonts w:hint="eastAsia" w:ascii="宋体" w:hAnsi="宋体"/>
                <w:sz w:val="18"/>
                <w:szCs w:val="18"/>
              </w:rPr>
            </w:pPr>
            <w:r>
              <w:rPr>
                <w:rFonts w:hint="eastAsia" w:ascii="宋体" w:hAnsi="宋体"/>
                <w:sz w:val="18"/>
                <w:szCs w:val="18"/>
              </w:rPr>
              <w:t>单位建筑面积综合电耗限定值</w:t>
            </w:r>
          </w:p>
          <w:p w14:paraId="48C0A469">
            <w:pPr>
              <w:spacing w:line="240" w:lineRule="auto"/>
              <w:jc w:val="center"/>
              <w:rPr>
                <w:rFonts w:hint="eastAsia" w:ascii="宋体" w:hAnsi="宋体"/>
                <w:sz w:val="18"/>
                <w:szCs w:val="18"/>
              </w:rPr>
            </w:pPr>
            <w:r>
              <w:rPr>
                <w:rFonts w:hint="eastAsia" w:ascii="宋体" w:hAnsi="宋体"/>
                <w:sz w:val="18"/>
                <w:szCs w:val="18"/>
              </w:rPr>
              <w:t>kW</w:t>
            </w:r>
            <w:r>
              <w:rPr>
                <w:rFonts w:hint="default" w:ascii="Times New Roman" w:hAnsi="Times New Roman" w:cs="Times New Roman"/>
                <w:sz w:val="18"/>
                <w:szCs w:val="18"/>
              </w:rPr>
              <w:t>·</w:t>
            </w:r>
            <w:r>
              <w:rPr>
                <w:rFonts w:hint="eastAsia" w:ascii="宋体" w:hAnsi="宋体"/>
                <w:sz w:val="18"/>
                <w:szCs w:val="18"/>
              </w:rPr>
              <w:t>h/m</w:t>
            </w:r>
            <w:r>
              <w:rPr>
                <w:rFonts w:hint="eastAsia" w:ascii="宋体" w:hAnsi="宋体"/>
                <w:sz w:val="18"/>
                <w:szCs w:val="18"/>
                <w:vertAlign w:val="superscript"/>
              </w:rPr>
              <w:t>2</w:t>
            </w:r>
          </w:p>
        </w:tc>
      </w:tr>
      <w:tr w14:paraId="63CC0A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4308" w:type="dxa"/>
            <w:tcBorders>
              <w:top w:val="single" w:color="auto" w:sz="8" w:space="0"/>
            </w:tcBorders>
            <w:shd w:val="clear" w:color="auto" w:fill="auto"/>
            <w:vAlign w:val="center"/>
          </w:tcPr>
          <w:p w14:paraId="68A56798">
            <w:pPr>
              <w:spacing w:line="240" w:lineRule="auto"/>
              <w:jc w:val="center"/>
              <w:rPr>
                <w:rFonts w:hint="eastAsia" w:ascii="宋体" w:hAnsi="宋体"/>
                <w:sz w:val="18"/>
                <w:szCs w:val="18"/>
              </w:rPr>
            </w:pPr>
            <w:r>
              <w:rPr>
                <w:rFonts w:hint="eastAsia" w:ascii="宋体" w:hAnsi="宋体"/>
                <w:sz w:val="18"/>
                <w:szCs w:val="18"/>
              </w:rPr>
              <w:t>商场</w:t>
            </w:r>
          </w:p>
        </w:tc>
        <w:tc>
          <w:tcPr>
            <w:tcW w:w="5021" w:type="dxa"/>
            <w:tcBorders>
              <w:top w:val="single" w:color="auto" w:sz="8" w:space="0"/>
            </w:tcBorders>
            <w:shd w:val="clear" w:color="auto" w:fill="auto"/>
            <w:vAlign w:val="center"/>
          </w:tcPr>
          <w:p w14:paraId="2C841FFD">
            <w:pPr>
              <w:spacing w:line="240" w:lineRule="auto"/>
              <w:jc w:val="center"/>
              <w:rPr>
                <w:rFonts w:hint="eastAsia" w:ascii="宋体" w:hAnsi="宋体"/>
                <w:sz w:val="18"/>
                <w:szCs w:val="18"/>
              </w:rPr>
            </w:pPr>
            <w:r>
              <w:rPr>
                <w:rFonts w:hint="eastAsia" w:ascii="宋体" w:hAnsi="宋体"/>
                <w:sz w:val="18"/>
                <w:szCs w:val="18"/>
              </w:rPr>
              <w:t>≤ 280</w:t>
            </w:r>
          </w:p>
        </w:tc>
      </w:tr>
      <w:tr w14:paraId="6D7BF8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9329" w:type="dxa"/>
            <w:gridSpan w:val="2"/>
            <w:shd w:val="clear" w:color="auto" w:fill="auto"/>
            <w:vAlign w:val="center"/>
          </w:tcPr>
          <w:p w14:paraId="25C41E92">
            <w:pPr>
              <w:pStyle w:val="183"/>
              <w:numPr>
                <w:ilvl w:val="0"/>
                <w:numId w:val="52"/>
              </w:numPr>
              <w:rPr>
                <w:rFonts w:hint="eastAsia" w:hAnsi="宋体"/>
                <w:kern w:val="2"/>
              </w:rPr>
            </w:pPr>
            <w:r>
              <w:rPr>
                <w:rFonts w:hint="eastAsia" w:hAnsi="宋体"/>
              </w:rPr>
              <w:t>商场包括百货店和购物中心；</w:t>
            </w:r>
          </w:p>
          <w:p w14:paraId="6FD585D4">
            <w:pPr>
              <w:pStyle w:val="237"/>
              <w:numPr>
                <w:ilvl w:val="0"/>
                <w:numId w:val="53"/>
              </w:numPr>
              <w:rPr>
                <w:rFonts w:hint="eastAsia" w:hAnsi="宋体"/>
                <w:kern w:val="2"/>
              </w:rPr>
            </w:pPr>
            <w:r>
              <w:rPr>
                <w:rFonts w:hint="eastAsia" w:hAnsi="宋体"/>
              </w:rPr>
              <w:t>统计报告期内，每年每平方米建筑面积的营业额≥ 3万元的商场，限定值乘以修正系数1.2。</w:t>
            </w:r>
          </w:p>
        </w:tc>
      </w:tr>
    </w:tbl>
    <w:p w14:paraId="47E9A814">
      <w:pPr>
        <w:pStyle w:val="107"/>
        <w:spacing w:before="312" w:after="312"/>
      </w:pPr>
      <w:bookmarkStart w:id="621" w:name="_Toc502760538"/>
      <w:bookmarkStart w:id="622" w:name="_Toc9709"/>
      <w:bookmarkStart w:id="623" w:name="_Toc26487"/>
      <w:bookmarkStart w:id="624" w:name="_Toc483586523"/>
      <w:bookmarkStart w:id="625" w:name="_Toc496771334"/>
      <w:bookmarkStart w:id="626" w:name="_Toc483398327"/>
      <w:bookmarkStart w:id="627" w:name="_Toc16244"/>
      <w:bookmarkStart w:id="628" w:name="_Toc492372649"/>
      <w:bookmarkStart w:id="629" w:name="_Toc492372503"/>
      <w:bookmarkStart w:id="630" w:name="_Toc175504984"/>
      <w:bookmarkStart w:id="631" w:name="_Toc496881071"/>
      <w:bookmarkStart w:id="632" w:name="_Toc175690970"/>
      <w:r>
        <w:rPr>
          <w:rFonts w:hint="eastAsia"/>
        </w:rPr>
        <w:t>统计范围和计算方法</w:t>
      </w:r>
      <w:bookmarkEnd w:id="621"/>
      <w:bookmarkEnd w:id="622"/>
      <w:bookmarkEnd w:id="623"/>
      <w:bookmarkEnd w:id="624"/>
      <w:bookmarkEnd w:id="625"/>
      <w:bookmarkEnd w:id="626"/>
      <w:bookmarkEnd w:id="627"/>
      <w:bookmarkEnd w:id="628"/>
      <w:bookmarkEnd w:id="629"/>
      <w:bookmarkEnd w:id="630"/>
      <w:bookmarkEnd w:id="631"/>
      <w:bookmarkEnd w:id="632"/>
    </w:p>
    <w:p w14:paraId="69E1EEBD">
      <w:pPr>
        <w:pStyle w:val="59"/>
        <w:ind w:firstLine="420"/>
      </w:pPr>
      <w:r>
        <w:rPr>
          <w:rFonts w:hint="eastAsia"/>
        </w:rPr>
        <w:t>各类产品和宾馆、商场的单位能耗限额统计范围和计算方法按照DB32/T 2061的规定执行。</w:t>
      </w:r>
    </w:p>
    <w:bookmarkEnd w:id="29"/>
    <w:p w14:paraId="1B90C2F2">
      <w:pPr>
        <w:pStyle w:val="115"/>
        <w:numPr>
          <w:ilvl w:val="0"/>
          <w:numId w:val="0"/>
        </w:numPr>
        <w:spacing w:before="156" w:after="156"/>
      </w:pPr>
      <w:bookmarkStart w:id="633"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33"/>
    </w:p>
    <w:sectPr>
      <w:headerReference r:id="rId19" w:type="default"/>
      <w:footerReference r:id="rId21" w:type="default"/>
      <w:headerReference r:id="rId20" w:type="even"/>
      <w:footerReference r:id="rId22" w:type="even"/>
      <w:pgSz w:w="11906" w:h="16838"/>
      <w:pgMar w:top="567"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F5">
    <w:altName w:val="Times New Roman"/>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91B15F">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1330">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4C169">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D71993">
    <w:pPr>
      <w:pStyle w:val="55"/>
    </w:pPr>
    <w:r>
      <w:fldChar w:fldCharType="begin"/>
    </w:r>
    <w:r>
      <w:instrText xml:space="preserve">PAGE   \* MERGEFORMAT</w:instrText>
    </w:r>
    <w:r>
      <w:fldChar w:fldCharType="separate"/>
    </w:r>
    <w:r>
      <w:rPr>
        <w:lang w:val="zh-CN"/>
      </w:rPr>
      <w:t>26</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96D987">
    <w:pPr>
      <w:pStyle w:val="54"/>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F6CB2F">
    <w:pPr>
      <w:pStyle w:val="55"/>
    </w:pPr>
    <w:r>
      <w:fldChar w:fldCharType="begin"/>
    </w:r>
    <w:r>
      <w:instrText xml:space="preserve">PAGE   \* MERGEFORMAT</w:instrText>
    </w:r>
    <w:r>
      <w:fldChar w:fldCharType="separate"/>
    </w:r>
    <w:r>
      <w:rPr>
        <w:lang w:val="zh-CN"/>
      </w:rPr>
      <w:t>26</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BBFDA">
    <w:pPr>
      <w:pStyle w:val="54"/>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55E14B">
    <w:pPr>
      <w:pStyle w:val="55"/>
    </w:pPr>
    <w:r>
      <w:fldChar w:fldCharType="begin"/>
    </w:r>
    <w:r>
      <w:instrText xml:space="preserve">PAGE   \* MERGEFORMAT</w:instrText>
    </w:r>
    <w:r>
      <w:fldChar w:fldCharType="separate"/>
    </w:r>
    <w:r>
      <w:rPr>
        <w:lang w:val="zh-CN"/>
      </w:rPr>
      <w:t>26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25C99E">
    <w:pPr>
      <w:pStyle w:val="54"/>
    </w:pPr>
    <w:r>
      <w:fldChar w:fldCharType="begin"/>
    </w:r>
    <w:r>
      <w:instrText xml:space="preserve"> PAGE   \* MERGEFORMAT \* MERGEFORMAT </w:instrText>
    </w:r>
    <w:r>
      <w:fldChar w:fldCharType="separate"/>
    </w:r>
    <w:r>
      <w:t>18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9F1DBF">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1108B">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19517">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ADBD0">
    <w:pPr>
      <w:pStyle w:val="64"/>
      <w:rPr>
        <w:rFonts w:hint="eastAsia"/>
      </w:rPr>
    </w:pPr>
    <w:r>
      <w:fldChar w:fldCharType="begin"/>
    </w:r>
    <w:r>
      <w:instrText xml:space="preserve"> STYLEREF  标准文件_文件编号  \* MERGEFORMAT </w:instrText>
    </w:r>
    <w:r>
      <w:fldChar w:fldCharType="separate"/>
    </w:r>
    <w:r>
      <w:t>DB 32/T 2060—XXXX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5E70D">
    <w:pPr>
      <w:pStyle w:val="65"/>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32/T 2060—XXXX</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66901">
    <w:pPr>
      <w:pStyle w:val="64"/>
      <w:rPr>
        <w:rFonts w:hint="eastAsia"/>
      </w:rPr>
    </w:pPr>
    <w:r>
      <w:fldChar w:fldCharType="begin"/>
    </w:r>
    <w:r>
      <w:instrText xml:space="preserve"> STYLEREF  标准文件_文件编号  \* MERGEFORMAT </w:instrText>
    </w:r>
    <w:r>
      <w:fldChar w:fldCharType="separate"/>
    </w:r>
    <w:r>
      <w:t>DB 32/T 2060—XXXX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8B125">
    <w:pPr>
      <w:pStyle w:val="65"/>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32/T 2060—XXXX</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3FB7E5">
    <w:pPr>
      <w:pStyle w:val="64"/>
      <w:rPr>
        <w:rFonts w:hint="eastAsia"/>
      </w:rPr>
    </w:pPr>
    <w:r>
      <w:fldChar w:fldCharType="begin"/>
    </w:r>
    <w:r>
      <w:instrText xml:space="preserve"> STYLEREF  标准文件_文件编号  \* MERGEFORMAT </w:instrText>
    </w:r>
    <w:r>
      <w:fldChar w:fldCharType="separate"/>
    </w:r>
    <w:r>
      <w:t>DB 32/T 2060—XXXX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1B41E">
    <w:pPr>
      <w:pStyle w:val="65"/>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 32/T 2060—XXXX</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pStyle w:val="237"/>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pStyle w:val="233"/>
      <w:lvlText w:val="%2)"/>
      <w:lvlJc w:val="left"/>
      <w:pPr>
        <w:tabs>
          <w:tab w:val="left" w:pos="840"/>
        </w:tabs>
        <w:ind w:left="840" w:hanging="420"/>
      </w:pPr>
    </w:lvl>
    <w:lvl w:ilvl="2" w:tentative="0">
      <w:start w:val="1"/>
      <w:numFmt w:val="lowerRoman"/>
      <w:pStyle w:val="239"/>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rPr>
        <w:rFonts w:hint="eastAsia"/>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7"/>
        </w:tabs>
        <w:ind w:left="1417"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1" w:cryptProviderType="rsaAES" w:cryptAlgorithmClass="hash" w:cryptAlgorithmType="typeAny" w:cryptAlgorithmSid="14" w:cryptSpinCount="100000" w:hash="4CBhUYSoea7z4UZLw8PM7Je8wUvKCrNbKJK6cJ/iJb602vlQqeiHQ/2SIONQkVGJCffiDVbHsvllp/btYwKsOA==" w:salt="uwBQBDxLBTlzjVE3w9Ivag=="/>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mVmNDNkOWUxODQ5YzRjYzI2Mjk0ZTQ4NGE4MDc3ZDUifQ=="/>
  </w:docVars>
  <w:rsids>
    <w:rsidRoot w:val="00A821AE"/>
    <w:rsid w:val="0000040A"/>
    <w:rsid w:val="00000A94"/>
    <w:rsid w:val="00001972"/>
    <w:rsid w:val="00001D9A"/>
    <w:rsid w:val="00007B3A"/>
    <w:rsid w:val="000107E0"/>
    <w:rsid w:val="00011FDE"/>
    <w:rsid w:val="00012FFD"/>
    <w:rsid w:val="00014162"/>
    <w:rsid w:val="00014340"/>
    <w:rsid w:val="00015332"/>
    <w:rsid w:val="00016A9C"/>
    <w:rsid w:val="00017B18"/>
    <w:rsid w:val="00022184"/>
    <w:rsid w:val="00022762"/>
    <w:rsid w:val="000238E0"/>
    <w:rsid w:val="00023F56"/>
    <w:rsid w:val="000249DB"/>
    <w:rsid w:val="00024B53"/>
    <w:rsid w:val="0002595E"/>
    <w:rsid w:val="00027B43"/>
    <w:rsid w:val="000303C3"/>
    <w:rsid w:val="00030A22"/>
    <w:rsid w:val="000331D3"/>
    <w:rsid w:val="000346A5"/>
    <w:rsid w:val="000359C3"/>
    <w:rsid w:val="00035A7D"/>
    <w:rsid w:val="00035C23"/>
    <w:rsid w:val="000365ED"/>
    <w:rsid w:val="00037C68"/>
    <w:rsid w:val="0004249A"/>
    <w:rsid w:val="00043282"/>
    <w:rsid w:val="00044286"/>
    <w:rsid w:val="000449DA"/>
    <w:rsid w:val="00047F28"/>
    <w:rsid w:val="000503AA"/>
    <w:rsid w:val="000506A1"/>
    <w:rsid w:val="00050C43"/>
    <w:rsid w:val="000515DD"/>
    <w:rsid w:val="0005265A"/>
    <w:rsid w:val="00053075"/>
    <w:rsid w:val="000539DD"/>
    <w:rsid w:val="00053BD3"/>
    <w:rsid w:val="00055617"/>
    <w:rsid w:val="000556ED"/>
    <w:rsid w:val="00055970"/>
    <w:rsid w:val="00055978"/>
    <w:rsid w:val="00055FE2"/>
    <w:rsid w:val="0005616F"/>
    <w:rsid w:val="00060C2E"/>
    <w:rsid w:val="00061033"/>
    <w:rsid w:val="000619E9"/>
    <w:rsid w:val="000622D4"/>
    <w:rsid w:val="0006357D"/>
    <w:rsid w:val="00067D46"/>
    <w:rsid w:val="00067F1E"/>
    <w:rsid w:val="00071CC0"/>
    <w:rsid w:val="0007308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A7D"/>
    <w:rsid w:val="000B1FF2"/>
    <w:rsid w:val="000B2E42"/>
    <w:rsid w:val="000B3CDA"/>
    <w:rsid w:val="000B6A0B"/>
    <w:rsid w:val="000C0F6C"/>
    <w:rsid w:val="000C11DB"/>
    <w:rsid w:val="000C1492"/>
    <w:rsid w:val="000C2FBD"/>
    <w:rsid w:val="000C4B41"/>
    <w:rsid w:val="000C57D6"/>
    <w:rsid w:val="000C6362"/>
    <w:rsid w:val="000C7666"/>
    <w:rsid w:val="000D0A9C"/>
    <w:rsid w:val="000D1795"/>
    <w:rsid w:val="000D329A"/>
    <w:rsid w:val="000D3E6A"/>
    <w:rsid w:val="000D4B9C"/>
    <w:rsid w:val="000D4EB6"/>
    <w:rsid w:val="000D742F"/>
    <w:rsid w:val="000D753B"/>
    <w:rsid w:val="000E34A9"/>
    <w:rsid w:val="000E4C9E"/>
    <w:rsid w:val="000E56D0"/>
    <w:rsid w:val="000E6FD7"/>
    <w:rsid w:val="000F06E1"/>
    <w:rsid w:val="000F0E0E"/>
    <w:rsid w:val="000F0E3C"/>
    <w:rsid w:val="000F19D5"/>
    <w:rsid w:val="000F4AEA"/>
    <w:rsid w:val="000F4CE6"/>
    <w:rsid w:val="000F633F"/>
    <w:rsid w:val="000F67E9"/>
    <w:rsid w:val="0010445F"/>
    <w:rsid w:val="00104926"/>
    <w:rsid w:val="00110096"/>
    <w:rsid w:val="00113B1E"/>
    <w:rsid w:val="00114509"/>
    <w:rsid w:val="0011711C"/>
    <w:rsid w:val="0012059C"/>
    <w:rsid w:val="001216EE"/>
    <w:rsid w:val="00121FFA"/>
    <w:rsid w:val="00124E4F"/>
    <w:rsid w:val="001260B7"/>
    <w:rsid w:val="001265CB"/>
    <w:rsid w:val="001321C6"/>
    <w:rsid w:val="001325C4"/>
    <w:rsid w:val="00133010"/>
    <w:rsid w:val="0013315C"/>
    <w:rsid w:val="001338EE"/>
    <w:rsid w:val="00133AAE"/>
    <w:rsid w:val="00135323"/>
    <w:rsid w:val="001356C4"/>
    <w:rsid w:val="0013791C"/>
    <w:rsid w:val="00137CAA"/>
    <w:rsid w:val="00141114"/>
    <w:rsid w:val="00142969"/>
    <w:rsid w:val="001446C2"/>
    <w:rsid w:val="001457E7"/>
    <w:rsid w:val="00145D9D"/>
    <w:rsid w:val="00146388"/>
    <w:rsid w:val="00150E84"/>
    <w:rsid w:val="001529E5"/>
    <w:rsid w:val="00153C7E"/>
    <w:rsid w:val="00156B25"/>
    <w:rsid w:val="00156E1A"/>
    <w:rsid w:val="00157894"/>
    <w:rsid w:val="00157B55"/>
    <w:rsid w:val="0016067B"/>
    <w:rsid w:val="00160CF6"/>
    <w:rsid w:val="00161781"/>
    <w:rsid w:val="00162F0C"/>
    <w:rsid w:val="001642FA"/>
    <w:rsid w:val="001649EB"/>
    <w:rsid w:val="00164BAF"/>
    <w:rsid w:val="00164FA8"/>
    <w:rsid w:val="00165065"/>
    <w:rsid w:val="00165434"/>
    <w:rsid w:val="0016580B"/>
    <w:rsid w:val="00165F49"/>
    <w:rsid w:val="00166B88"/>
    <w:rsid w:val="0016770A"/>
    <w:rsid w:val="00170804"/>
    <w:rsid w:val="001708E9"/>
    <w:rsid w:val="00173151"/>
    <w:rsid w:val="0017340B"/>
    <w:rsid w:val="00173FB1"/>
    <w:rsid w:val="00176DFD"/>
    <w:rsid w:val="001852C9"/>
    <w:rsid w:val="00190087"/>
    <w:rsid w:val="001910A7"/>
    <w:rsid w:val="001913C4"/>
    <w:rsid w:val="001929AF"/>
    <w:rsid w:val="0019348F"/>
    <w:rsid w:val="00193A07"/>
    <w:rsid w:val="0019442B"/>
    <w:rsid w:val="00194C95"/>
    <w:rsid w:val="00195C34"/>
    <w:rsid w:val="00196EF5"/>
    <w:rsid w:val="001A1A53"/>
    <w:rsid w:val="001A234A"/>
    <w:rsid w:val="001A4CF3"/>
    <w:rsid w:val="001B06E8"/>
    <w:rsid w:val="001B141C"/>
    <w:rsid w:val="001B71D0"/>
    <w:rsid w:val="001B71EE"/>
    <w:rsid w:val="001C04A8"/>
    <w:rsid w:val="001C2C03"/>
    <w:rsid w:val="001C42F7"/>
    <w:rsid w:val="001C49E5"/>
    <w:rsid w:val="001C680C"/>
    <w:rsid w:val="001C7FEA"/>
    <w:rsid w:val="001D0499"/>
    <w:rsid w:val="001D0BBE"/>
    <w:rsid w:val="001D0ED4"/>
    <w:rsid w:val="001D212F"/>
    <w:rsid w:val="001D29D7"/>
    <w:rsid w:val="001D29F9"/>
    <w:rsid w:val="001D2DE7"/>
    <w:rsid w:val="001D411C"/>
    <w:rsid w:val="001D4844"/>
    <w:rsid w:val="001D4A37"/>
    <w:rsid w:val="001D7017"/>
    <w:rsid w:val="001E1578"/>
    <w:rsid w:val="001E1B6A"/>
    <w:rsid w:val="001E2484"/>
    <w:rsid w:val="001E30BA"/>
    <w:rsid w:val="001E3CC4"/>
    <w:rsid w:val="001E4882"/>
    <w:rsid w:val="001E715C"/>
    <w:rsid w:val="001E73AB"/>
    <w:rsid w:val="001E7A90"/>
    <w:rsid w:val="001F092D"/>
    <w:rsid w:val="001F143A"/>
    <w:rsid w:val="001F1605"/>
    <w:rsid w:val="001F2508"/>
    <w:rsid w:val="001F4816"/>
    <w:rsid w:val="001F4EE9"/>
    <w:rsid w:val="001F69B4"/>
    <w:rsid w:val="001F6D77"/>
    <w:rsid w:val="001F77C7"/>
    <w:rsid w:val="00200183"/>
    <w:rsid w:val="00200333"/>
    <w:rsid w:val="0020107D"/>
    <w:rsid w:val="00202AA4"/>
    <w:rsid w:val="002031F7"/>
    <w:rsid w:val="002040E6"/>
    <w:rsid w:val="0020527B"/>
    <w:rsid w:val="00205F2C"/>
    <w:rsid w:val="002066B2"/>
    <w:rsid w:val="002069A3"/>
    <w:rsid w:val="00210B15"/>
    <w:rsid w:val="002142EA"/>
    <w:rsid w:val="002204BB"/>
    <w:rsid w:val="00221B79"/>
    <w:rsid w:val="00221C6B"/>
    <w:rsid w:val="00224066"/>
    <w:rsid w:val="002253A1"/>
    <w:rsid w:val="00225CF8"/>
    <w:rsid w:val="0022794E"/>
    <w:rsid w:val="00232F30"/>
    <w:rsid w:val="00233D64"/>
    <w:rsid w:val="0023482A"/>
    <w:rsid w:val="002359CB"/>
    <w:rsid w:val="00237783"/>
    <w:rsid w:val="00243540"/>
    <w:rsid w:val="002438D4"/>
    <w:rsid w:val="0024497B"/>
    <w:rsid w:val="0024515B"/>
    <w:rsid w:val="00245314"/>
    <w:rsid w:val="002458B7"/>
    <w:rsid w:val="00246021"/>
    <w:rsid w:val="0024666E"/>
    <w:rsid w:val="00247F52"/>
    <w:rsid w:val="00250B25"/>
    <w:rsid w:val="00250BBE"/>
    <w:rsid w:val="002515C2"/>
    <w:rsid w:val="0025194F"/>
    <w:rsid w:val="002569B3"/>
    <w:rsid w:val="0026148A"/>
    <w:rsid w:val="00261CEE"/>
    <w:rsid w:val="00262696"/>
    <w:rsid w:val="00262C4D"/>
    <w:rsid w:val="00263D25"/>
    <w:rsid w:val="002643C3"/>
    <w:rsid w:val="00264A0C"/>
    <w:rsid w:val="00266EEB"/>
    <w:rsid w:val="00267091"/>
    <w:rsid w:val="002673C8"/>
    <w:rsid w:val="00267EF4"/>
    <w:rsid w:val="00270CB8"/>
    <w:rsid w:val="00272550"/>
    <w:rsid w:val="00272B08"/>
    <w:rsid w:val="00277B7A"/>
    <w:rsid w:val="002806FB"/>
    <w:rsid w:val="00280759"/>
    <w:rsid w:val="00281BB8"/>
    <w:rsid w:val="00281E9E"/>
    <w:rsid w:val="00282405"/>
    <w:rsid w:val="00285170"/>
    <w:rsid w:val="00285361"/>
    <w:rsid w:val="00285797"/>
    <w:rsid w:val="00292D60"/>
    <w:rsid w:val="002937E6"/>
    <w:rsid w:val="00293B30"/>
    <w:rsid w:val="00294D34"/>
    <w:rsid w:val="00294E3B"/>
    <w:rsid w:val="00296193"/>
    <w:rsid w:val="00296360"/>
    <w:rsid w:val="00296C66"/>
    <w:rsid w:val="00296EBE"/>
    <w:rsid w:val="002974E3"/>
    <w:rsid w:val="00297DE8"/>
    <w:rsid w:val="002A084B"/>
    <w:rsid w:val="002A1260"/>
    <w:rsid w:val="002A1589"/>
    <w:rsid w:val="002A1608"/>
    <w:rsid w:val="002A25DC"/>
    <w:rsid w:val="002A3AAB"/>
    <w:rsid w:val="002A4289"/>
    <w:rsid w:val="002A4CEA"/>
    <w:rsid w:val="002A5759"/>
    <w:rsid w:val="002A5977"/>
    <w:rsid w:val="002A5A13"/>
    <w:rsid w:val="002A6F18"/>
    <w:rsid w:val="002A757F"/>
    <w:rsid w:val="002A7F44"/>
    <w:rsid w:val="002B0C40"/>
    <w:rsid w:val="002B1966"/>
    <w:rsid w:val="002B4508"/>
    <w:rsid w:val="002B5779"/>
    <w:rsid w:val="002B7332"/>
    <w:rsid w:val="002B7F51"/>
    <w:rsid w:val="002C09E7"/>
    <w:rsid w:val="002C1211"/>
    <w:rsid w:val="002C1E06"/>
    <w:rsid w:val="002C1E1C"/>
    <w:rsid w:val="002C3F07"/>
    <w:rsid w:val="002C5278"/>
    <w:rsid w:val="002C7EBB"/>
    <w:rsid w:val="002D06C1"/>
    <w:rsid w:val="002D362D"/>
    <w:rsid w:val="002D42B5"/>
    <w:rsid w:val="002D4F1A"/>
    <w:rsid w:val="002D6EC6"/>
    <w:rsid w:val="002D79AC"/>
    <w:rsid w:val="002E039D"/>
    <w:rsid w:val="002E285C"/>
    <w:rsid w:val="002E2AAC"/>
    <w:rsid w:val="002E4D5A"/>
    <w:rsid w:val="002E6326"/>
    <w:rsid w:val="002F30E0"/>
    <w:rsid w:val="002F35E4"/>
    <w:rsid w:val="002F3730"/>
    <w:rsid w:val="002F38E1"/>
    <w:rsid w:val="002F51C2"/>
    <w:rsid w:val="002F7AF6"/>
    <w:rsid w:val="00300E63"/>
    <w:rsid w:val="00302F5F"/>
    <w:rsid w:val="0030441D"/>
    <w:rsid w:val="00306063"/>
    <w:rsid w:val="003110EA"/>
    <w:rsid w:val="003126D5"/>
    <w:rsid w:val="00313B85"/>
    <w:rsid w:val="00317988"/>
    <w:rsid w:val="003221B4"/>
    <w:rsid w:val="0032258D"/>
    <w:rsid w:val="00322E62"/>
    <w:rsid w:val="00324D13"/>
    <w:rsid w:val="00324D2A"/>
    <w:rsid w:val="00324EDD"/>
    <w:rsid w:val="0033100A"/>
    <w:rsid w:val="003331E4"/>
    <w:rsid w:val="00336C64"/>
    <w:rsid w:val="0033710B"/>
    <w:rsid w:val="00337162"/>
    <w:rsid w:val="003373E3"/>
    <w:rsid w:val="0034194F"/>
    <w:rsid w:val="00343E66"/>
    <w:rsid w:val="00344605"/>
    <w:rsid w:val="003474AA"/>
    <w:rsid w:val="00350A63"/>
    <w:rsid w:val="00350D1D"/>
    <w:rsid w:val="00352C83"/>
    <w:rsid w:val="003615D2"/>
    <w:rsid w:val="00362BDB"/>
    <w:rsid w:val="0036429C"/>
    <w:rsid w:val="00364A53"/>
    <w:rsid w:val="00365249"/>
    <w:rsid w:val="003654CB"/>
    <w:rsid w:val="00365AA9"/>
    <w:rsid w:val="00365F86"/>
    <w:rsid w:val="00365F87"/>
    <w:rsid w:val="00366E89"/>
    <w:rsid w:val="003705F4"/>
    <w:rsid w:val="00370D58"/>
    <w:rsid w:val="00371316"/>
    <w:rsid w:val="00371592"/>
    <w:rsid w:val="003717AB"/>
    <w:rsid w:val="00373F16"/>
    <w:rsid w:val="00373FD0"/>
    <w:rsid w:val="00376713"/>
    <w:rsid w:val="00381815"/>
    <w:rsid w:val="003819AF"/>
    <w:rsid w:val="00381BF7"/>
    <w:rsid w:val="003820E9"/>
    <w:rsid w:val="00382DE7"/>
    <w:rsid w:val="0038333B"/>
    <w:rsid w:val="00384FFC"/>
    <w:rsid w:val="003872FC"/>
    <w:rsid w:val="00387ADC"/>
    <w:rsid w:val="00390020"/>
    <w:rsid w:val="0039031F"/>
    <w:rsid w:val="003903D6"/>
    <w:rsid w:val="00390EE6"/>
    <w:rsid w:val="0039118F"/>
    <w:rsid w:val="0039124A"/>
    <w:rsid w:val="00392AD7"/>
    <w:rsid w:val="003938D9"/>
    <w:rsid w:val="00394376"/>
    <w:rsid w:val="003943FF"/>
    <w:rsid w:val="00395700"/>
    <w:rsid w:val="003974EB"/>
    <w:rsid w:val="00397CC5"/>
    <w:rsid w:val="003A1582"/>
    <w:rsid w:val="003A4077"/>
    <w:rsid w:val="003B09AD"/>
    <w:rsid w:val="003B1F18"/>
    <w:rsid w:val="003B45B2"/>
    <w:rsid w:val="003B5BF0"/>
    <w:rsid w:val="003B60BF"/>
    <w:rsid w:val="003B6BE3"/>
    <w:rsid w:val="003C010C"/>
    <w:rsid w:val="003C0A6C"/>
    <w:rsid w:val="003C14F8"/>
    <w:rsid w:val="003C34FD"/>
    <w:rsid w:val="003C5A43"/>
    <w:rsid w:val="003D0519"/>
    <w:rsid w:val="003D0FF6"/>
    <w:rsid w:val="003D262C"/>
    <w:rsid w:val="003D6D61"/>
    <w:rsid w:val="003E091D"/>
    <w:rsid w:val="003E1C53"/>
    <w:rsid w:val="003E2A69"/>
    <w:rsid w:val="003E2D49"/>
    <w:rsid w:val="003E2FD4"/>
    <w:rsid w:val="003E4626"/>
    <w:rsid w:val="003E4790"/>
    <w:rsid w:val="003E49F6"/>
    <w:rsid w:val="003E660F"/>
    <w:rsid w:val="003F0841"/>
    <w:rsid w:val="003F23D3"/>
    <w:rsid w:val="003F263E"/>
    <w:rsid w:val="003F3F08"/>
    <w:rsid w:val="003F49F1"/>
    <w:rsid w:val="003F6272"/>
    <w:rsid w:val="00400E72"/>
    <w:rsid w:val="00401400"/>
    <w:rsid w:val="00403F71"/>
    <w:rsid w:val="00404869"/>
    <w:rsid w:val="00405884"/>
    <w:rsid w:val="00407D39"/>
    <w:rsid w:val="00411AC2"/>
    <w:rsid w:val="0041477A"/>
    <w:rsid w:val="004152B3"/>
    <w:rsid w:val="004167A3"/>
    <w:rsid w:val="004213E7"/>
    <w:rsid w:val="00422888"/>
    <w:rsid w:val="00432DAA"/>
    <w:rsid w:val="00434305"/>
    <w:rsid w:val="00435DF7"/>
    <w:rsid w:val="0044083F"/>
    <w:rsid w:val="00441AE7"/>
    <w:rsid w:val="0044235F"/>
    <w:rsid w:val="00445574"/>
    <w:rsid w:val="004467FB"/>
    <w:rsid w:val="00452D6B"/>
    <w:rsid w:val="00453398"/>
    <w:rsid w:val="00454484"/>
    <w:rsid w:val="0045517B"/>
    <w:rsid w:val="00463B77"/>
    <w:rsid w:val="00463C7B"/>
    <w:rsid w:val="004644A6"/>
    <w:rsid w:val="004659BD"/>
    <w:rsid w:val="004673ED"/>
    <w:rsid w:val="00470775"/>
    <w:rsid w:val="00470E31"/>
    <w:rsid w:val="004729B0"/>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A7BB2"/>
    <w:rsid w:val="004B0272"/>
    <w:rsid w:val="004B2701"/>
    <w:rsid w:val="004B2E1B"/>
    <w:rsid w:val="004B3AA8"/>
    <w:rsid w:val="004B3E93"/>
    <w:rsid w:val="004C1FBC"/>
    <w:rsid w:val="004C3F1D"/>
    <w:rsid w:val="004C458D"/>
    <w:rsid w:val="004C7091"/>
    <w:rsid w:val="004C7556"/>
    <w:rsid w:val="004C7E8B"/>
    <w:rsid w:val="004C7E9D"/>
    <w:rsid w:val="004C7F67"/>
    <w:rsid w:val="004D076D"/>
    <w:rsid w:val="004D0EF1"/>
    <w:rsid w:val="004D2253"/>
    <w:rsid w:val="004D3D4F"/>
    <w:rsid w:val="004D4406"/>
    <w:rsid w:val="004D7C42"/>
    <w:rsid w:val="004E0465"/>
    <w:rsid w:val="004E127B"/>
    <w:rsid w:val="004E1C0A"/>
    <w:rsid w:val="004E2B06"/>
    <w:rsid w:val="004E30C5"/>
    <w:rsid w:val="004E4AA5"/>
    <w:rsid w:val="004E4AEE"/>
    <w:rsid w:val="004E59E3"/>
    <w:rsid w:val="004E67C0"/>
    <w:rsid w:val="004E7414"/>
    <w:rsid w:val="004F18A2"/>
    <w:rsid w:val="004F391A"/>
    <w:rsid w:val="004F3CFB"/>
    <w:rsid w:val="004F6456"/>
    <w:rsid w:val="004F696E"/>
    <w:rsid w:val="004F6C71"/>
    <w:rsid w:val="004F7A28"/>
    <w:rsid w:val="00501139"/>
    <w:rsid w:val="0050363E"/>
    <w:rsid w:val="005039BC"/>
    <w:rsid w:val="005043BB"/>
    <w:rsid w:val="00504A3D"/>
    <w:rsid w:val="00505767"/>
    <w:rsid w:val="00505E80"/>
    <w:rsid w:val="005073F0"/>
    <w:rsid w:val="00510A7B"/>
    <w:rsid w:val="00512F6E"/>
    <w:rsid w:val="00513038"/>
    <w:rsid w:val="0051313C"/>
    <w:rsid w:val="00514174"/>
    <w:rsid w:val="00516088"/>
    <w:rsid w:val="00516B0B"/>
    <w:rsid w:val="005220EC"/>
    <w:rsid w:val="00523F95"/>
    <w:rsid w:val="00524D65"/>
    <w:rsid w:val="00525B16"/>
    <w:rsid w:val="00533D04"/>
    <w:rsid w:val="00534804"/>
    <w:rsid w:val="00534BDF"/>
    <w:rsid w:val="005351F9"/>
    <w:rsid w:val="005354EA"/>
    <w:rsid w:val="0053585F"/>
    <w:rsid w:val="00535EC4"/>
    <w:rsid w:val="00535ED9"/>
    <w:rsid w:val="0053692B"/>
    <w:rsid w:val="00541853"/>
    <w:rsid w:val="00543BDA"/>
    <w:rsid w:val="005441CC"/>
    <w:rsid w:val="00544CC6"/>
    <w:rsid w:val="005479DA"/>
    <w:rsid w:val="00547B7C"/>
    <w:rsid w:val="00547BCC"/>
    <w:rsid w:val="0055013B"/>
    <w:rsid w:val="00551F6F"/>
    <w:rsid w:val="00554447"/>
    <w:rsid w:val="00555044"/>
    <w:rsid w:val="00561475"/>
    <w:rsid w:val="005636E2"/>
    <w:rsid w:val="0056487B"/>
    <w:rsid w:val="00564FB9"/>
    <w:rsid w:val="0056647E"/>
    <w:rsid w:val="005675A7"/>
    <w:rsid w:val="00573D9E"/>
    <w:rsid w:val="005801E3"/>
    <w:rsid w:val="00581802"/>
    <w:rsid w:val="005836A8"/>
    <w:rsid w:val="0058409C"/>
    <w:rsid w:val="00584262"/>
    <w:rsid w:val="00586630"/>
    <w:rsid w:val="00587436"/>
    <w:rsid w:val="00587ADD"/>
    <w:rsid w:val="005947D3"/>
    <w:rsid w:val="00596160"/>
    <w:rsid w:val="005966E2"/>
    <w:rsid w:val="00597007"/>
    <w:rsid w:val="005A0966"/>
    <w:rsid w:val="005A11B7"/>
    <w:rsid w:val="005A260B"/>
    <w:rsid w:val="005A4A1B"/>
    <w:rsid w:val="005A6310"/>
    <w:rsid w:val="005A7830"/>
    <w:rsid w:val="005A7FCE"/>
    <w:rsid w:val="005B0817"/>
    <w:rsid w:val="005B0F3F"/>
    <w:rsid w:val="005B35C8"/>
    <w:rsid w:val="005B4903"/>
    <w:rsid w:val="005B51CE"/>
    <w:rsid w:val="005B5885"/>
    <w:rsid w:val="005B5CD7"/>
    <w:rsid w:val="005B6CF6"/>
    <w:rsid w:val="005B7422"/>
    <w:rsid w:val="005C29B8"/>
    <w:rsid w:val="005C5320"/>
    <w:rsid w:val="005C5F21"/>
    <w:rsid w:val="005C7156"/>
    <w:rsid w:val="005D0C75"/>
    <w:rsid w:val="005D4171"/>
    <w:rsid w:val="005D6A95"/>
    <w:rsid w:val="005D6B2C"/>
    <w:rsid w:val="005D6D9C"/>
    <w:rsid w:val="005E2335"/>
    <w:rsid w:val="005E27AE"/>
    <w:rsid w:val="005E34CA"/>
    <w:rsid w:val="005E3C18"/>
    <w:rsid w:val="005E6812"/>
    <w:rsid w:val="005E7881"/>
    <w:rsid w:val="005E78E0"/>
    <w:rsid w:val="005F0D9C"/>
    <w:rsid w:val="005F284E"/>
    <w:rsid w:val="005F44FA"/>
    <w:rsid w:val="005F4712"/>
    <w:rsid w:val="00600FD6"/>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5BE7"/>
    <w:rsid w:val="006365A1"/>
    <w:rsid w:val="00636E3E"/>
    <w:rsid w:val="006379F7"/>
    <w:rsid w:val="00637E4D"/>
    <w:rsid w:val="00640620"/>
    <w:rsid w:val="00641A1F"/>
    <w:rsid w:val="00645904"/>
    <w:rsid w:val="00650B01"/>
    <w:rsid w:val="00650B6C"/>
    <w:rsid w:val="00651ACB"/>
    <w:rsid w:val="00651C47"/>
    <w:rsid w:val="00652AB2"/>
    <w:rsid w:val="00653FED"/>
    <w:rsid w:val="00654EC0"/>
    <w:rsid w:val="0065525B"/>
    <w:rsid w:val="00655D4F"/>
    <w:rsid w:val="00656D29"/>
    <w:rsid w:val="006579C2"/>
    <w:rsid w:val="006640E5"/>
    <w:rsid w:val="006646F1"/>
    <w:rsid w:val="00664929"/>
    <w:rsid w:val="00664F62"/>
    <w:rsid w:val="006655E1"/>
    <w:rsid w:val="0067088A"/>
    <w:rsid w:val="00672060"/>
    <w:rsid w:val="00672BFD"/>
    <w:rsid w:val="006770F4"/>
    <w:rsid w:val="00677A84"/>
    <w:rsid w:val="0068026D"/>
    <w:rsid w:val="0068097E"/>
    <w:rsid w:val="00680A27"/>
    <w:rsid w:val="006816A4"/>
    <w:rsid w:val="006819B8"/>
    <w:rsid w:val="006840A6"/>
    <w:rsid w:val="00684721"/>
    <w:rsid w:val="006850CD"/>
    <w:rsid w:val="00685AAB"/>
    <w:rsid w:val="0068696E"/>
    <w:rsid w:val="006A07AA"/>
    <w:rsid w:val="006A25E5"/>
    <w:rsid w:val="006A2B46"/>
    <w:rsid w:val="006A336D"/>
    <w:rsid w:val="006A37B9"/>
    <w:rsid w:val="006A3FF1"/>
    <w:rsid w:val="006B091E"/>
    <w:rsid w:val="006B2672"/>
    <w:rsid w:val="006B4A61"/>
    <w:rsid w:val="006B54BF"/>
    <w:rsid w:val="006B5F44"/>
    <w:rsid w:val="006B5F90"/>
    <w:rsid w:val="006B62E4"/>
    <w:rsid w:val="006C1BBA"/>
    <w:rsid w:val="006C2079"/>
    <w:rsid w:val="006C4F18"/>
    <w:rsid w:val="006C5635"/>
    <w:rsid w:val="006C5A62"/>
    <w:rsid w:val="006C5D68"/>
    <w:rsid w:val="006C6423"/>
    <w:rsid w:val="006C6976"/>
    <w:rsid w:val="006C6DD0"/>
    <w:rsid w:val="006C7CD7"/>
    <w:rsid w:val="006D04EA"/>
    <w:rsid w:val="006D16C4"/>
    <w:rsid w:val="006D3E96"/>
    <w:rsid w:val="006D4515"/>
    <w:rsid w:val="006D4BB1"/>
    <w:rsid w:val="006D5B2D"/>
    <w:rsid w:val="006D6593"/>
    <w:rsid w:val="006E15FA"/>
    <w:rsid w:val="006E1999"/>
    <w:rsid w:val="006E23EA"/>
    <w:rsid w:val="006E362C"/>
    <w:rsid w:val="006E7576"/>
    <w:rsid w:val="006F03A8"/>
    <w:rsid w:val="006F2ACA"/>
    <w:rsid w:val="006F2ADC"/>
    <w:rsid w:val="006F2BFE"/>
    <w:rsid w:val="006F2F58"/>
    <w:rsid w:val="006F31E9"/>
    <w:rsid w:val="006F41F6"/>
    <w:rsid w:val="006F4836"/>
    <w:rsid w:val="006F4DB6"/>
    <w:rsid w:val="006F4E86"/>
    <w:rsid w:val="006F6284"/>
    <w:rsid w:val="007002C5"/>
    <w:rsid w:val="00704387"/>
    <w:rsid w:val="00707669"/>
    <w:rsid w:val="00711CBA"/>
    <w:rsid w:val="00711D40"/>
    <w:rsid w:val="00711FB5"/>
    <w:rsid w:val="00712A01"/>
    <w:rsid w:val="00714F58"/>
    <w:rsid w:val="00720B03"/>
    <w:rsid w:val="00721A40"/>
    <w:rsid w:val="00722FBF"/>
    <w:rsid w:val="00722FC2"/>
    <w:rsid w:val="0072421E"/>
    <w:rsid w:val="00724879"/>
    <w:rsid w:val="00724E1B"/>
    <w:rsid w:val="00725187"/>
    <w:rsid w:val="00725949"/>
    <w:rsid w:val="00727FA2"/>
    <w:rsid w:val="00731855"/>
    <w:rsid w:val="007322D9"/>
    <w:rsid w:val="00732BC0"/>
    <w:rsid w:val="00735F77"/>
    <w:rsid w:val="0073720F"/>
    <w:rsid w:val="00737796"/>
    <w:rsid w:val="00737CE0"/>
    <w:rsid w:val="00741438"/>
    <w:rsid w:val="0074165C"/>
    <w:rsid w:val="00742C35"/>
    <w:rsid w:val="007432CA"/>
    <w:rsid w:val="007439EB"/>
    <w:rsid w:val="00743CB4"/>
    <w:rsid w:val="00743F0A"/>
    <w:rsid w:val="007444E8"/>
    <w:rsid w:val="0074548E"/>
    <w:rsid w:val="00745773"/>
    <w:rsid w:val="00746800"/>
    <w:rsid w:val="007501A8"/>
    <w:rsid w:val="00750BDF"/>
    <w:rsid w:val="00750D61"/>
    <w:rsid w:val="00750EE1"/>
    <w:rsid w:val="007528D7"/>
    <w:rsid w:val="00752B4D"/>
    <w:rsid w:val="00755402"/>
    <w:rsid w:val="00756B26"/>
    <w:rsid w:val="00756EDF"/>
    <w:rsid w:val="0075700E"/>
    <w:rsid w:val="007600E3"/>
    <w:rsid w:val="00765C43"/>
    <w:rsid w:val="00765EFB"/>
    <w:rsid w:val="00766A09"/>
    <w:rsid w:val="007671CA"/>
    <w:rsid w:val="00767C61"/>
    <w:rsid w:val="0077008A"/>
    <w:rsid w:val="00770AFC"/>
    <w:rsid w:val="00773C1F"/>
    <w:rsid w:val="00774DA4"/>
    <w:rsid w:val="00775F78"/>
    <w:rsid w:val="00776599"/>
    <w:rsid w:val="0078114B"/>
    <w:rsid w:val="00781DD2"/>
    <w:rsid w:val="00783221"/>
    <w:rsid w:val="00783ECF"/>
    <w:rsid w:val="0078413A"/>
    <w:rsid w:val="007930F2"/>
    <w:rsid w:val="007939C5"/>
    <w:rsid w:val="007959E8"/>
    <w:rsid w:val="00795AEC"/>
    <w:rsid w:val="00795E9C"/>
    <w:rsid w:val="00797737"/>
    <w:rsid w:val="007A0521"/>
    <w:rsid w:val="007A0E82"/>
    <w:rsid w:val="007A1703"/>
    <w:rsid w:val="007A2E12"/>
    <w:rsid w:val="007A3475"/>
    <w:rsid w:val="007A41C8"/>
    <w:rsid w:val="007A54CE"/>
    <w:rsid w:val="007A6FD9"/>
    <w:rsid w:val="007A7FFA"/>
    <w:rsid w:val="007B04EB"/>
    <w:rsid w:val="007B0D4F"/>
    <w:rsid w:val="007B43F0"/>
    <w:rsid w:val="007B5A3D"/>
    <w:rsid w:val="007B5B95"/>
    <w:rsid w:val="007B68EA"/>
    <w:rsid w:val="007B7453"/>
    <w:rsid w:val="007C1E8B"/>
    <w:rsid w:val="007C2D89"/>
    <w:rsid w:val="007C4593"/>
    <w:rsid w:val="007C5309"/>
    <w:rsid w:val="007C6069"/>
    <w:rsid w:val="007D06C4"/>
    <w:rsid w:val="007D1352"/>
    <w:rsid w:val="007D2508"/>
    <w:rsid w:val="007D346A"/>
    <w:rsid w:val="007D53B1"/>
    <w:rsid w:val="007D6518"/>
    <w:rsid w:val="007D76BD"/>
    <w:rsid w:val="007E0BF1"/>
    <w:rsid w:val="007E1FEC"/>
    <w:rsid w:val="007E5657"/>
    <w:rsid w:val="007F0ED8"/>
    <w:rsid w:val="007F0F63"/>
    <w:rsid w:val="007F2EA0"/>
    <w:rsid w:val="007F3562"/>
    <w:rsid w:val="007F75CE"/>
    <w:rsid w:val="0080006C"/>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26B31"/>
    <w:rsid w:val="00830621"/>
    <w:rsid w:val="0083348C"/>
    <w:rsid w:val="008373D3"/>
    <w:rsid w:val="00840617"/>
    <w:rsid w:val="00840F84"/>
    <w:rsid w:val="00841D02"/>
    <w:rsid w:val="008426A8"/>
    <w:rsid w:val="00842A47"/>
    <w:rsid w:val="00843C13"/>
    <w:rsid w:val="0084461B"/>
    <w:rsid w:val="008454F8"/>
    <w:rsid w:val="00845673"/>
    <w:rsid w:val="00850029"/>
    <w:rsid w:val="0085173A"/>
    <w:rsid w:val="00852C57"/>
    <w:rsid w:val="00853C06"/>
    <w:rsid w:val="00856316"/>
    <w:rsid w:val="0085781F"/>
    <w:rsid w:val="008603CE"/>
    <w:rsid w:val="008620FC"/>
    <w:rsid w:val="008627A5"/>
    <w:rsid w:val="00863E05"/>
    <w:rsid w:val="00865ACA"/>
    <w:rsid w:val="00865D28"/>
    <w:rsid w:val="00865F85"/>
    <w:rsid w:val="00867C10"/>
    <w:rsid w:val="00870439"/>
    <w:rsid w:val="00870DA1"/>
    <w:rsid w:val="00871031"/>
    <w:rsid w:val="008727FF"/>
    <w:rsid w:val="00877BA4"/>
    <w:rsid w:val="00877E66"/>
    <w:rsid w:val="00880E5E"/>
    <w:rsid w:val="00881874"/>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6D1"/>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1E3C"/>
    <w:rsid w:val="008C219C"/>
    <w:rsid w:val="008C3A89"/>
    <w:rsid w:val="008C475E"/>
    <w:rsid w:val="008C619A"/>
    <w:rsid w:val="008D0CE8"/>
    <w:rsid w:val="008D2D1D"/>
    <w:rsid w:val="008D415B"/>
    <w:rsid w:val="008D453D"/>
    <w:rsid w:val="008D53AD"/>
    <w:rsid w:val="008D562B"/>
    <w:rsid w:val="008D5733"/>
    <w:rsid w:val="008D5D2C"/>
    <w:rsid w:val="008D622B"/>
    <w:rsid w:val="008D666C"/>
    <w:rsid w:val="008D7B54"/>
    <w:rsid w:val="008E0C9D"/>
    <w:rsid w:val="008E1648"/>
    <w:rsid w:val="008E17EF"/>
    <w:rsid w:val="008E1B3E"/>
    <w:rsid w:val="008E2319"/>
    <w:rsid w:val="008E38EF"/>
    <w:rsid w:val="008E4BB6"/>
    <w:rsid w:val="008E5518"/>
    <w:rsid w:val="008E6A84"/>
    <w:rsid w:val="008F0CDC"/>
    <w:rsid w:val="008F17A3"/>
    <w:rsid w:val="008F1ED3"/>
    <w:rsid w:val="008F1F3A"/>
    <w:rsid w:val="008F23A5"/>
    <w:rsid w:val="008F4C29"/>
    <w:rsid w:val="008F5894"/>
    <w:rsid w:val="008F5F28"/>
    <w:rsid w:val="008F70BD"/>
    <w:rsid w:val="008F788F"/>
    <w:rsid w:val="008F7EA2"/>
    <w:rsid w:val="00902722"/>
    <w:rsid w:val="009027BC"/>
    <w:rsid w:val="009062E6"/>
    <w:rsid w:val="00911BC4"/>
    <w:rsid w:val="00911BE5"/>
    <w:rsid w:val="00913CA9"/>
    <w:rsid w:val="009145AE"/>
    <w:rsid w:val="009146CE"/>
    <w:rsid w:val="00914CA7"/>
    <w:rsid w:val="00915602"/>
    <w:rsid w:val="00915C3E"/>
    <w:rsid w:val="009161A8"/>
    <w:rsid w:val="0092055B"/>
    <w:rsid w:val="009227EB"/>
    <w:rsid w:val="009233F9"/>
    <w:rsid w:val="009245F5"/>
    <w:rsid w:val="009249EC"/>
    <w:rsid w:val="0092535C"/>
    <w:rsid w:val="009273B3"/>
    <w:rsid w:val="009305B5"/>
    <w:rsid w:val="00933E80"/>
    <w:rsid w:val="00941F67"/>
    <w:rsid w:val="009429D5"/>
    <w:rsid w:val="00942BF1"/>
    <w:rsid w:val="00945180"/>
    <w:rsid w:val="00945428"/>
    <w:rsid w:val="0094607B"/>
    <w:rsid w:val="00950391"/>
    <w:rsid w:val="00953604"/>
    <w:rsid w:val="0095496B"/>
    <w:rsid w:val="00960E2C"/>
    <w:rsid w:val="009610DC"/>
    <w:rsid w:val="00961490"/>
    <w:rsid w:val="0096381A"/>
    <w:rsid w:val="00965E04"/>
    <w:rsid w:val="009674AD"/>
    <w:rsid w:val="00970CDC"/>
    <w:rsid w:val="00976108"/>
    <w:rsid w:val="00977010"/>
    <w:rsid w:val="00977D02"/>
    <w:rsid w:val="009809BB"/>
    <w:rsid w:val="00983515"/>
    <w:rsid w:val="0098364B"/>
    <w:rsid w:val="00985882"/>
    <w:rsid w:val="00990FA9"/>
    <w:rsid w:val="009911AF"/>
    <w:rsid w:val="00991875"/>
    <w:rsid w:val="00991F92"/>
    <w:rsid w:val="00992985"/>
    <w:rsid w:val="00993889"/>
    <w:rsid w:val="009942B8"/>
    <w:rsid w:val="0099551B"/>
    <w:rsid w:val="00997BF1"/>
    <w:rsid w:val="009A089C"/>
    <w:rsid w:val="009A118E"/>
    <w:rsid w:val="009A21CD"/>
    <w:rsid w:val="009A278C"/>
    <w:rsid w:val="009A2BC2"/>
    <w:rsid w:val="009A390C"/>
    <w:rsid w:val="009A42C1"/>
    <w:rsid w:val="009A53BA"/>
    <w:rsid w:val="009A5429"/>
    <w:rsid w:val="009A6E1C"/>
    <w:rsid w:val="009A72AD"/>
    <w:rsid w:val="009B09E0"/>
    <w:rsid w:val="009B0BC5"/>
    <w:rsid w:val="009B1247"/>
    <w:rsid w:val="009B3646"/>
    <w:rsid w:val="009B369C"/>
    <w:rsid w:val="009B4CEE"/>
    <w:rsid w:val="009B6029"/>
    <w:rsid w:val="009B6971"/>
    <w:rsid w:val="009B6B7F"/>
    <w:rsid w:val="009C27F1"/>
    <w:rsid w:val="009C3152"/>
    <w:rsid w:val="009C4CFA"/>
    <w:rsid w:val="009C5070"/>
    <w:rsid w:val="009D0FE1"/>
    <w:rsid w:val="009D112C"/>
    <w:rsid w:val="009D364E"/>
    <w:rsid w:val="009D47FA"/>
    <w:rsid w:val="009D4C5B"/>
    <w:rsid w:val="009D50D2"/>
    <w:rsid w:val="009D6BCA"/>
    <w:rsid w:val="009E0F62"/>
    <w:rsid w:val="009E359F"/>
    <w:rsid w:val="009E4A58"/>
    <w:rsid w:val="009E54DE"/>
    <w:rsid w:val="009E5961"/>
    <w:rsid w:val="009E5A2D"/>
    <w:rsid w:val="009E5AB2"/>
    <w:rsid w:val="009E6219"/>
    <w:rsid w:val="009F03B3"/>
    <w:rsid w:val="009F0F3E"/>
    <w:rsid w:val="00A0096C"/>
    <w:rsid w:val="00A00ADB"/>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4A4A"/>
    <w:rsid w:val="00A3597D"/>
    <w:rsid w:val="00A36DD1"/>
    <w:rsid w:val="00A37131"/>
    <w:rsid w:val="00A4006C"/>
    <w:rsid w:val="00A40091"/>
    <w:rsid w:val="00A4030F"/>
    <w:rsid w:val="00A41C79"/>
    <w:rsid w:val="00A41CB5"/>
    <w:rsid w:val="00A42CDF"/>
    <w:rsid w:val="00A43ADB"/>
    <w:rsid w:val="00A4452E"/>
    <w:rsid w:val="00A4472C"/>
    <w:rsid w:val="00A44E69"/>
    <w:rsid w:val="00A4661E"/>
    <w:rsid w:val="00A55485"/>
    <w:rsid w:val="00A55BD6"/>
    <w:rsid w:val="00A55D50"/>
    <w:rsid w:val="00A57142"/>
    <w:rsid w:val="00A648CD"/>
    <w:rsid w:val="00A6537A"/>
    <w:rsid w:val="00A67866"/>
    <w:rsid w:val="00A70B07"/>
    <w:rsid w:val="00A723F8"/>
    <w:rsid w:val="00A77468"/>
    <w:rsid w:val="00A77CCB"/>
    <w:rsid w:val="00A80301"/>
    <w:rsid w:val="00A821AE"/>
    <w:rsid w:val="00A83D8D"/>
    <w:rsid w:val="00A8446B"/>
    <w:rsid w:val="00A8452F"/>
    <w:rsid w:val="00A8473F"/>
    <w:rsid w:val="00A85847"/>
    <w:rsid w:val="00A862D6"/>
    <w:rsid w:val="00A8715E"/>
    <w:rsid w:val="00A9295B"/>
    <w:rsid w:val="00A93B09"/>
    <w:rsid w:val="00A94247"/>
    <w:rsid w:val="00A943D1"/>
    <w:rsid w:val="00A952D7"/>
    <w:rsid w:val="00A963F7"/>
    <w:rsid w:val="00A96AD8"/>
    <w:rsid w:val="00AA052C"/>
    <w:rsid w:val="00AA1BA2"/>
    <w:rsid w:val="00AA1E45"/>
    <w:rsid w:val="00AA31AC"/>
    <w:rsid w:val="00AA4286"/>
    <w:rsid w:val="00AA456B"/>
    <w:rsid w:val="00AA57F5"/>
    <w:rsid w:val="00AA672E"/>
    <w:rsid w:val="00AA6EC9"/>
    <w:rsid w:val="00AB41D5"/>
    <w:rsid w:val="00AB4B11"/>
    <w:rsid w:val="00AB6098"/>
    <w:rsid w:val="00AB6309"/>
    <w:rsid w:val="00AB6C5F"/>
    <w:rsid w:val="00AB7129"/>
    <w:rsid w:val="00AC27A6"/>
    <w:rsid w:val="00AC30F7"/>
    <w:rsid w:val="00AC3A5A"/>
    <w:rsid w:val="00AC4D95"/>
    <w:rsid w:val="00AC59EE"/>
    <w:rsid w:val="00AC5DF4"/>
    <w:rsid w:val="00AD0AEF"/>
    <w:rsid w:val="00AD11B7"/>
    <w:rsid w:val="00AD1A94"/>
    <w:rsid w:val="00AD1C05"/>
    <w:rsid w:val="00AD236C"/>
    <w:rsid w:val="00AD4126"/>
    <w:rsid w:val="00AD421C"/>
    <w:rsid w:val="00AD44FA"/>
    <w:rsid w:val="00AE070A"/>
    <w:rsid w:val="00AE101C"/>
    <w:rsid w:val="00AE37E5"/>
    <w:rsid w:val="00AE4C36"/>
    <w:rsid w:val="00AE5EB4"/>
    <w:rsid w:val="00AF0C18"/>
    <w:rsid w:val="00AF2F7A"/>
    <w:rsid w:val="00AF47C5"/>
    <w:rsid w:val="00AF5398"/>
    <w:rsid w:val="00B049AF"/>
    <w:rsid w:val="00B04A5C"/>
    <w:rsid w:val="00B0547D"/>
    <w:rsid w:val="00B06F1A"/>
    <w:rsid w:val="00B07242"/>
    <w:rsid w:val="00B07AA4"/>
    <w:rsid w:val="00B10534"/>
    <w:rsid w:val="00B113DB"/>
    <w:rsid w:val="00B11D8A"/>
    <w:rsid w:val="00B12981"/>
    <w:rsid w:val="00B1339C"/>
    <w:rsid w:val="00B147DD"/>
    <w:rsid w:val="00B152A5"/>
    <w:rsid w:val="00B156FD"/>
    <w:rsid w:val="00B21F61"/>
    <w:rsid w:val="00B24C4D"/>
    <w:rsid w:val="00B2511A"/>
    <w:rsid w:val="00B261F1"/>
    <w:rsid w:val="00B265BC"/>
    <w:rsid w:val="00B3113A"/>
    <w:rsid w:val="00B31FB1"/>
    <w:rsid w:val="00B33321"/>
    <w:rsid w:val="00B33952"/>
    <w:rsid w:val="00B33C5E"/>
    <w:rsid w:val="00B342F4"/>
    <w:rsid w:val="00B34369"/>
    <w:rsid w:val="00B34DC2"/>
    <w:rsid w:val="00B378E5"/>
    <w:rsid w:val="00B4346D"/>
    <w:rsid w:val="00B440F4"/>
    <w:rsid w:val="00B447A5"/>
    <w:rsid w:val="00B4654C"/>
    <w:rsid w:val="00B47293"/>
    <w:rsid w:val="00B50532"/>
    <w:rsid w:val="00B50E50"/>
    <w:rsid w:val="00B52120"/>
    <w:rsid w:val="00B52E10"/>
    <w:rsid w:val="00B54ABC"/>
    <w:rsid w:val="00B54DDE"/>
    <w:rsid w:val="00B56FBE"/>
    <w:rsid w:val="00B60ACF"/>
    <w:rsid w:val="00B62B58"/>
    <w:rsid w:val="00B65149"/>
    <w:rsid w:val="00B66567"/>
    <w:rsid w:val="00B66F52"/>
    <w:rsid w:val="00B66FE5"/>
    <w:rsid w:val="00B66FF4"/>
    <w:rsid w:val="00B716DA"/>
    <w:rsid w:val="00B72880"/>
    <w:rsid w:val="00B74998"/>
    <w:rsid w:val="00B758BF"/>
    <w:rsid w:val="00B77EC8"/>
    <w:rsid w:val="00B817D2"/>
    <w:rsid w:val="00B827A6"/>
    <w:rsid w:val="00B831CE"/>
    <w:rsid w:val="00B86677"/>
    <w:rsid w:val="00B87131"/>
    <w:rsid w:val="00B939B1"/>
    <w:rsid w:val="00B93F5F"/>
    <w:rsid w:val="00B96D40"/>
    <w:rsid w:val="00B97386"/>
    <w:rsid w:val="00BA263B"/>
    <w:rsid w:val="00BA42B2"/>
    <w:rsid w:val="00BA58D4"/>
    <w:rsid w:val="00BA5B9E"/>
    <w:rsid w:val="00BA7082"/>
    <w:rsid w:val="00BA7A23"/>
    <w:rsid w:val="00BA7AEE"/>
    <w:rsid w:val="00BA7C9A"/>
    <w:rsid w:val="00BB1753"/>
    <w:rsid w:val="00BB5F8F"/>
    <w:rsid w:val="00BB657A"/>
    <w:rsid w:val="00BC1A4E"/>
    <w:rsid w:val="00BC5A0C"/>
    <w:rsid w:val="00BC5DC7"/>
    <w:rsid w:val="00BC6B8B"/>
    <w:rsid w:val="00BC73D8"/>
    <w:rsid w:val="00BD2426"/>
    <w:rsid w:val="00BD52D7"/>
    <w:rsid w:val="00BD5AD2"/>
    <w:rsid w:val="00BE22F3"/>
    <w:rsid w:val="00BE5B52"/>
    <w:rsid w:val="00BE7B8D"/>
    <w:rsid w:val="00BF0993"/>
    <w:rsid w:val="00BF10A9"/>
    <w:rsid w:val="00BF12D8"/>
    <w:rsid w:val="00BF1703"/>
    <w:rsid w:val="00BF231C"/>
    <w:rsid w:val="00BF2DC4"/>
    <w:rsid w:val="00BF51E5"/>
    <w:rsid w:val="00BF659A"/>
    <w:rsid w:val="00BF74A6"/>
    <w:rsid w:val="00C013AD"/>
    <w:rsid w:val="00C04904"/>
    <w:rsid w:val="00C054D0"/>
    <w:rsid w:val="00C056B3"/>
    <w:rsid w:val="00C06003"/>
    <w:rsid w:val="00C103E5"/>
    <w:rsid w:val="00C13319"/>
    <w:rsid w:val="00C13EE9"/>
    <w:rsid w:val="00C21540"/>
    <w:rsid w:val="00C21906"/>
    <w:rsid w:val="00C21BFA"/>
    <w:rsid w:val="00C22148"/>
    <w:rsid w:val="00C22FDC"/>
    <w:rsid w:val="00C24C8D"/>
    <w:rsid w:val="00C25FE2"/>
    <w:rsid w:val="00C26B53"/>
    <w:rsid w:val="00C279B2"/>
    <w:rsid w:val="00C33E50"/>
    <w:rsid w:val="00C34C20"/>
    <w:rsid w:val="00C3511C"/>
    <w:rsid w:val="00C35A3E"/>
    <w:rsid w:val="00C36F73"/>
    <w:rsid w:val="00C37A10"/>
    <w:rsid w:val="00C42130"/>
    <w:rsid w:val="00C423A4"/>
    <w:rsid w:val="00C44BF5"/>
    <w:rsid w:val="00C521D6"/>
    <w:rsid w:val="00C55232"/>
    <w:rsid w:val="00C553A4"/>
    <w:rsid w:val="00C55A06"/>
    <w:rsid w:val="00C55D03"/>
    <w:rsid w:val="00C601BC"/>
    <w:rsid w:val="00C60F89"/>
    <w:rsid w:val="00C61C03"/>
    <w:rsid w:val="00C6329F"/>
    <w:rsid w:val="00C63340"/>
    <w:rsid w:val="00C643F9"/>
    <w:rsid w:val="00C64E95"/>
    <w:rsid w:val="00C657EE"/>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971AB"/>
    <w:rsid w:val="00CA2D1B"/>
    <w:rsid w:val="00CA375D"/>
    <w:rsid w:val="00CA662A"/>
    <w:rsid w:val="00CA7AFD"/>
    <w:rsid w:val="00CA7C3C"/>
    <w:rsid w:val="00CA7C4A"/>
    <w:rsid w:val="00CB0189"/>
    <w:rsid w:val="00CB0BA2"/>
    <w:rsid w:val="00CB1A42"/>
    <w:rsid w:val="00CB1B0C"/>
    <w:rsid w:val="00CB2C0B"/>
    <w:rsid w:val="00CB517D"/>
    <w:rsid w:val="00CB5858"/>
    <w:rsid w:val="00CC038D"/>
    <w:rsid w:val="00CC08DB"/>
    <w:rsid w:val="00CC39FF"/>
    <w:rsid w:val="00CC3C2F"/>
    <w:rsid w:val="00CC4AC8"/>
    <w:rsid w:val="00CC5233"/>
    <w:rsid w:val="00CC5DE6"/>
    <w:rsid w:val="00CC6E4E"/>
    <w:rsid w:val="00CC6FE8"/>
    <w:rsid w:val="00CC7202"/>
    <w:rsid w:val="00CD01A4"/>
    <w:rsid w:val="00CD2808"/>
    <w:rsid w:val="00CD28BF"/>
    <w:rsid w:val="00CD4092"/>
    <w:rsid w:val="00CD4A20"/>
    <w:rsid w:val="00CD50A1"/>
    <w:rsid w:val="00CD519E"/>
    <w:rsid w:val="00CE0C4F"/>
    <w:rsid w:val="00CE15F2"/>
    <w:rsid w:val="00CE30EA"/>
    <w:rsid w:val="00CF048A"/>
    <w:rsid w:val="00CF155A"/>
    <w:rsid w:val="00CF1E60"/>
    <w:rsid w:val="00CF2947"/>
    <w:rsid w:val="00CF6242"/>
    <w:rsid w:val="00CF686F"/>
    <w:rsid w:val="00CF6E60"/>
    <w:rsid w:val="00CF7BCA"/>
    <w:rsid w:val="00CF7D74"/>
    <w:rsid w:val="00D008FD"/>
    <w:rsid w:val="00D0321C"/>
    <w:rsid w:val="00D035EC"/>
    <w:rsid w:val="00D04D6C"/>
    <w:rsid w:val="00D056A0"/>
    <w:rsid w:val="00D06AB1"/>
    <w:rsid w:val="00D072ED"/>
    <w:rsid w:val="00D07A16"/>
    <w:rsid w:val="00D1067E"/>
    <w:rsid w:val="00D10F50"/>
    <w:rsid w:val="00D11272"/>
    <w:rsid w:val="00D126F5"/>
    <w:rsid w:val="00D14152"/>
    <w:rsid w:val="00D1489E"/>
    <w:rsid w:val="00D20737"/>
    <w:rsid w:val="00D21E81"/>
    <w:rsid w:val="00D223DE"/>
    <w:rsid w:val="00D2484E"/>
    <w:rsid w:val="00D25E37"/>
    <w:rsid w:val="00D2661A"/>
    <w:rsid w:val="00D27582"/>
    <w:rsid w:val="00D27EC4"/>
    <w:rsid w:val="00D305EF"/>
    <w:rsid w:val="00D317EB"/>
    <w:rsid w:val="00D32719"/>
    <w:rsid w:val="00D32D3F"/>
    <w:rsid w:val="00D33333"/>
    <w:rsid w:val="00D33457"/>
    <w:rsid w:val="00D352A2"/>
    <w:rsid w:val="00D36A89"/>
    <w:rsid w:val="00D41375"/>
    <w:rsid w:val="00D41567"/>
    <w:rsid w:val="00D4162B"/>
    <w:rsid w:val="00D4514F"/>
    <w:rsid w:val="00D451E2"/>
    <w:rsid w:val="00D45C62"/>
    <w:rsid w:val="00D45E89"/>
    <w:rsid w:val="00D45E8D"/>
    <w:rsid w:val="00D466AE"/>
    <w:rsid w:val="00D4734F"/>
    <w:rsid w:val="00D51BF3"/>
    <w:rsid w:val="00D545DC"/>
    <w:rsid w:val="00D55EED"/>
    <w:rsid w:val="00D610FE"/>
    <w:rsid w:val="00D660B7"/>
    <w:rsid w:val="00D66846"/>
    <w:rsid w:val="00D675FB"/>
    <w:rsid w:val="00D70D30"/>
    <w:rsid w:val="00D71F25"/>
    <w:rsid w:val="00D72A9C"/>
    <w:rsid w:val="00D77031"/>
    <w:rsid w:val="00D84941"/>
    <w:rsid w:val="00D84FA1"/>
    <w:rsid w:val="00D851F0"/>
    <w:rsid w:val="00D86437"/>
    <w:rsid w:val="00D86DB7"/>
    <w:rsid w:val="00D926D0"/>
    <w:rsid w:val="00D93030"/>
    <w:rsid w:val="00D950E1"/>
    <w:rsid w:val="00D952A6"/>
    <w:rsid w:val="00D96F10"/>
    <w:rsid w:val="00D97F99"/>
    <w:rsid w:val="00DA06BA"/>
    <w:rsid w:val="00DA1E08"/>
    <w:rsid w:val="00DA24F8"/>
    <w:rsid w:val="00DA28E8"/>
    <w:rsid w:val="00DA38D3"/>
    <w:rsid w:val="00DA3932"/>
    <w:rsid w:val="00DA3AFC"/>
    <w:rsid w:val="00DA64F8"/>
    <w:rsid w:val="00DA6C15"/>
    <w:rsid w:val="00DA7DBE"/>
    <w:rsid w:val="00DB0258"/>
    <w:rsid w:val="00DB38EE"/>
    <w:rsid w:val="00DB498B"/>
    <w:rsid w:val="00DB550D"/>
    <w:rsid w:val="00DB66CA"/>
    <w:rsid w:val="00DB6BCA"/>
    <w:rsid w:val="00DB73F7"/>
    <w:rsid w:val="00DC0321"/>
    <w:rsid w:val="00DC3067"/>
    <w:rsid w:val="00DC30B4"/>
    <w:rsid w:val="00DC370B"/>
    <w:rsid w:val="00DC435C"/>
    <w:rsid w:val="00DC51A7"/>
    <w:rsid w:val="00DC5B90"/>
    <w:rsid w:val="00DC5EB6"/>
    <w:rsid w:val="00DC7CA0"/>
    <w:rsid w:val="00DD00FF"/>
    <w:rsid w:val="00DD0619"/>
    <w:rsid w:val="00DD07FB"/>
    <w:rsid w:val="00DD25C6"/>
    <w:rsid w:val="00DD4FCB"/>
    <w:rsid w:val="00DD4FE5"/>
    <w:rsid w:val="00DD54B0"/>
    <w:rsid w:val="00DD57EE"/>
    <w:rsid w:val="00DD6BCC"/>
    <w:rsid w:val="00DE0A4B"/>
    <w:rsid w:val="00DE2410"/>
    <w:rsid w:val="00DE2939"/>
    <w:rsid w:val="00DE6E81"/>
    <w:rsid w:val="00DE703F"/>
    <w:rsid w:val="00DE7595"/>
    <w:rsid w:val="00DF1961"/>
    <w:rsid w:val="00DF2210"/>
    <w:rsid w:val="00DF3F59"/>
    <w:rsid w:val="00DF44DE"/>
    <w:rsid w:val="00DF5F11"/>
    <w:rsid w:val="00E01138"/>
    <w:rsid w:val="00E02DFB"/>
    <w:rsid w:val="00E030F9"/>
    <w:rsid w:val="00E0311A"/>
    <w:rsid w:val="00E03138"/>
    <w:rsid w:val="00E06404"/>
    <w:rsid w:val="00E11A85"/>
    <w:rsid w:val="00E12495"/>
    <w:rsid w:val="00E15CCD"/>
    <w:rsid w:val="00E202EF"/>
    <w:rsid w:val="00E210B5"/>
    <w:rsid w:val="00E211DC"/>
    <w:rsid w:val="00E220BC"/>
    <w:rsid w:val="00E23D99"/>
    <w:rsid w:val="00E2552F"/>
    <w:rsid w:val="00E3137A"/>
    <w:rsid w:val="00E32CCF"/>
    <w:rsid w:val="00E34A98"/>
    <w:rsid w:val="00E35D1E"/>
    <w:rsid w:val="00E364F9"/>
    <w:rsid w:val="00E365FA"/>
    <w:rsid w:val="00E36789"/>
    <w:rsid w:val="00E449BA"/>
    <w:rsid w:val="00E44A83"/>
    <w:rsid w:val="00E458FE"/>
    <w:rsid w:val="00E502C1"/>
    <w:rsid w:val="00E502DD"/>
    <w:rsid w:val="00E50D3A"/>
    <w:rsid w:val="00E51387"/>
    <w:rsid w:val="00E51E68"/>
    <w:rsid w:val="00E52EFD"/>
    <w:rsid w:val="00E5408A"/>
    <w:rsid w:val="00E56800"/>
    <w:rsid w:val="00E60C63"/>
    <w:rsid w:val="00E60CBC"/>
    <w:rsid w:val="00E62FF9"/>
    <w:rsid w:val="00E635D6"/>
    <w:rsid w:val="00E639BC"/>
    <w:rsid w:val="00E664CC"/>
    <w:rsid w:val="00E70388"/>
    <w:rsid w:val="00E70F92"/>
    <w:rsid w:val="00E74C54"/>
    <w:rsid w:val="00E74DD2"/>
    <w:rsid w:val="00E77A03"/>
    <w:rsid w:val="00E822E8"/>
    <w:rsid w:val="00E82554"/>
    <w:rsid w:val="00E8257A"/>
    <w:rsid w:val="00E82606"/>
    <w:rsid w:val="00E846C8"/>
    <w:rsid w:val="00E84957"/>
    <w:rsid w:val="00E84A55"/>
    <w:rsid w:val="00E85BFF"/>
    <w:rsid w:val="00E87035"/>
    <w:rsid w:val="00E90391"/>
    <w:rsid w:val="00E906C2"/>
    <w:rsid w:val="00E9311F"/>
    <w:rsid w:val="00E934D1"/>
    <w:rsid w:val="00E93883"/>
    <w:rsid w:val="00E94AF0"/>
    <w:rsid w:val="00E95D13"/>
    <w:rsid w:val="00E95DD3"/>
    <w:rsid w:val="00E969D5"/>
    <w:rsid w:val="00EA58D1"/>
    <w:rsid w:val="00EA61BC"/>
    <w:rsid w:val="00EA681A"/>
    <w:rsid w:val="00EA735B"/>
    <w:rsid w:val="00EB17DE"/>
    <w:rsid w:val="00EB1E69"/>
    <w:rsid w:val="00EB2086"/>
    <w:rsid w:val="00EB2ABB"/>
    <w:rsid w:val="00EB3355"/>
    <w:rsid w:val="00EB5EDF"/>
    <w:rsid w:val="00EB60FE"/>
    <w:rsid w:val="00EB6B0B"/>
    <w:rsid w:val="00EB74DB"/>
    <w:rsid w:val="00EC5359"/>
    <w:rsid w:val="00EC562A"/>
    <w:rsid w:val="00ED067A"/>
    <w:rsid w:val="00ED226D"/>
    <w:rsid w:val="00ED2B50"/>
    <w:rsid w:val="00ED6407"/>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3AD4"/>
    <w:rsid w:val="00F451EA"/>
    <w:rsid w:val="00F45447"/>
    <w:rsid w:val="00F456C6"/>
    <w:rsid w:val="00F4577B"/>
    <w:rsid w:val="00F46496"/>
    <w:rsid w:val="00F474D0"/>
    <w:rsid w:val="00F50179"/>
    <w:rsid w:val="00F5141F"/>
    <w:rsid w:val="00F515EE"/>
    <w:rsid w:val="00F532FD"/>
    <w:rsid w:val="00F56511"/>
    <w:rsid w:val="00F6194E"/>
    <w:rsid w:val="00F623AC"/>
    <w:rsid w:val="00F6412A"/>
    <w:rsid w:val="00F65893"/>
    <w:rsid w:val="00F66A4A"/>
    <w:rsid w:val="00F71E22"/>
    <w:rsid w:val="00F72142"/>
    <w:rsid w:val="00F726BE"/>
    <w:rsid w:val="00F72AE7"/>
    <w:rsid w:val="00F74950"/>
    <w:rsid w:val="00F75F86"/>
    <w:rsid w:val="00F81141"/>
    <w:rsid w:val="00F833BA"/>
    <w:rsid w:val="00F842FA"/>
    <w:rsid w:val="00F84FD0"/>
    <w:rsid w:val="00F859A8"/>
    <w:rsid w:val="00F86D87"/>
    <w:rsid w:val="00F9108B"/>
    <w:rsid w:val="00F91349"/>
    <w:rsid w:val="00F93A8A"/>
    <w:rsid w:val="00F93E97"/>
    <w:rsid w:val="00F95248"/>
    <w:rsid w:val="00F956A9"/>
    <w:rsid w:val="00F958DD"/>
    <w:rsid w:val="00F960AD"/>
    <w:rsid w:val="00F963ED"/>
    <w:rsid w:val="00F966CF"/>
    <w:rsid w:val="00F96CAE"/>
    <w:rsid w:val="00F97C99"/>
    <w:rsid w:val="00F97D3D"/>
    <w:rsid w:val="00FA4DAC"/>
    <w:rsid w:val="00FA662D"/>
    <w:rsid w:val="00FA73B1"/>
    <w:rsid w:val="00FA7B4E"/>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0F0"/>
    <w:rsid w:val="00FE7E79"/>
    <w:rsid w:val="00FF3E7D"/>
    <w:rsid w:val="00FF5B99"/>
    <w:rsid w:val="00FF6F14"/>
    <w:rsid w:val="00FF71C9"/>
    <w:rsid w:val="00FF730C"/>
    <w:rsid w:val="00FF73F4"/>
    <w:rsid w:val="00FF7CE4"/>
    <w:rsid w:val="00FF7E39"/>
    <w:rsid w:val="014F404B"/>
    <w:rsid w:val="02D7161C"/>
    <w:rsid w:val="02FE3E7B"/>
    <w:rsid w:val="0E9F22D0"/>
    <w:rsid w:val="0EDA7E6D"/>
    <w:rsid w:val="151C4A92"/>
    <w:rsid w:val="163928C2"/>
    <w:rsid w:val="18D37898"/>
    <w:rsid w:val="1A4C512E"/>
    <w:rsid w:val="1AAF7964"/>
    <w:rsid w:val="1AEA5657"/>
    <w:rsid w:val="1B781235"/>
    <w:rsid w:val="1C0544F3"/>
    <w:rsid w:val="1FAC62B2"/>
    <w:rsid w:val="22B42F6F"/>
    <w:rsid w:val="254F4191"/>
    <w:rsid w:val="25FC685A"/>
    <w:rsid w:val="29D63EA4"/>
    <w:rsid w:val="2D70175A"/>
    <w:rsid w:val="325A5976"/>
    <w:rsid w:val="32E94557"/>
    <w:rsid w:val="339B4B57"/>
    <w:rsid w:val="36F823B4"/>
    <w:rsid w:val="39A369DF"/>
    <w:rsid w:val="3E251551"/>
    <w:rsid w:val="3E4A149B"/>
    <w:rsid w:val="430F0CD6"/>
    <w:rsid w:val="439D67BD"/>
    <w:rsid w:val="47F94F07"/>
    <w:rsid w:val="4B970A03"/>
    <w:rsid w:val="4F66098C"/>
    <w:rsid w:val="4F9C439B"/>
    <w:rsid w:val="53D208E5"/>
    <w:rsid w:val="55EB6E93"/>
    <w:rsid w:val="5CD17224"/>
    <w:rsid w:val="5ED16E3D"/>
    <w:rsid w:val="5F071CB4"/>
    <w:rsid w:val="5F0D20AA"/>
    <w:rsid w:val="619E0F12"/>
    <w:rsid w:val="68294213"/>
    <w:rsid w:val="689A35AE"/>
    <w:rsid w:val="693E088E"/>
    <w:rsid w:val="6B8F4F7C"/>
    <w:rsid w:val="6E052DD5"/>
    <w:rsid w:val="6EAE4563"/>
    <w:rsid w:val="702A6D7B"/>
    <w:rsid w:val="70F34BA0"/>
    <w:rsid w:val="71B513B6"/>
    <w:rsid w:val="71C46705"/>
    <w:rsid w:val="74941ED5"/>
    <w:rsid w:val="781C4C64"/>
    <w:rsid w:val="789027CC"/>
    <w:rsid w:val="7BA23C69"/>
    <w:rsid w:val="7D846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autoRedefine/>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annotation text"/>
    <w:basedOn w:val="1"/>
    <w:link w:val="243"/>
    <w:autoRedefine/>
    <w:unhideWhenUsed/>
    <w:qFormat/>
    <w:uiPriority w:val="99"/>
    <w:pPr>
      <w:jc w:val="left"/>
    </w:pPr>
  </w:style>
  <w:style w:type="paragraph" w:styleId="14">
    <w:name w:val="Body Text"/>
    <w:basedOn w:val="1"/>
    <w:link w:val="89"/>
    <w:autoRedefine/>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8"/>
    <w:autoRedefine/>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44"/>
    <w:semiHidden/>
    <w:unhideWhenUsed/>
    <w:qFormat/>
    <w:uiPriority w:val="99"/>
    <w:rPr>
      <w:b/>
      <w:bCs/>
    </w:rPr>
  </w:style>
  <w:style w:type="table" w:styleId="29">
    <w:name w:val="Table Grid"/>
    <w:basedOn w:val="2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autoRedefine/>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autoRedefine/>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rFonts w:ascii="Times New Roman" w:hAnsi="Times New Roman" w:eastAsia="宋体" w:cs="Times New Roman"/>
      <w:b/>
      <w:bCs/>
      <w:kern w:val="44"/>
      <w:sz w:val="44"/>
      <w:szCs w:val="44"/>
    </w:rPr>
  </w:style>
  <w:style w:type="character" w:customStyle="1" w:styleId="38">
    <w:name w:val="标题 2 字符"/>
    <w:link w:val="3"/>
    <w:autoRedefine/>
    <w:qFormat/>
    <w:uiPriority w:val="0"/>
    <w:rPr>
      <w:rFonts w:ascii="Arial" w:hAnsi="Arial" w:eastAsia="黑体" w:cs="Times New Roman"/>
      <w:b/>
      <w:bCs/>
      <w:sz w:val="32"/>
      <w:szCs w:val="32"/>
    </w:rPr>
  </w:style>
  <w:style w:type="character" w:customStyle="1" w:styleId="39">
    <w:name w:val="标题 3 字符"/>
    <w:link w:val="4"/>
    <w:qFormat/>
    <w:uiPriority w:val="0"/>
    <w:rPr>
      <w:rFonts w:ascii="Times New Roman" w:hAnsi="Times New Roman" w:eastAsia="宋体" w:cs="Times New Roman"/>
      <w:b/>
      <w:bCs/>
      <w:sz w:val="32"/>
      <w:szCs w:val="32"/>
    </w:rPr>
  </w:style>
  <w:style w:type="character" w:customStyle="1" w:styleId="40">
    <w:name w:val="标题 4 字符"/>
    <w:link w:val="5"/>
    <w:qFormat/>
    <w:uiPriority w:val="0"/>
    <w:rPr>
      <w:rFonts w:ascii="Arial" w:hAnsi="Arial" w:eastAsia="黑体" w:cs="Times New Roman"/>
      <w:b/>
      <w:bCs/>
      <w:sz w:val="28"/>
      <w:szCs w:val="28"/>
    </w:rPr>
  </w:style>
  <w:style w:type="character" w:customStyle="1" w:styleId="41">
    <w:name w:val="标题 5 字符"/>
    <w:link w:val="6"/>
    <w:qFormat/>
    <w:uiPriority w:val="0"/>
    <w:rPr>
      <w:rFonts w:ascii="Times New Roman" w:hAnsi="Times New Roman" w:eastAsia="宋体" w:cs="Times New Roman"/>
      <w:b/>
      <w:bCs/>
      <w:sz w:val="28"/>
      <w:szCs w:val="28"/>
    </w:rPr>
  </w:style>
  <w:style w:type="character" w:customStyle="1" w:styleId="42">
    <w:name w:val="标题 6 字符"/>
    <w:link w:val="7"/>
    <w:qFormat/>
    <w:uiPriority w:val="0"/>
    <w:rPr>
      <w:rFonts w:ascii="Arial" w:hAnsi="Arial" w:eastAsia="黑体" w:cs="Times New Roman"/>
      <w:b/>
      <w:bCs/>
      <w:sz w:val="24"/>
      <w:szCs w:val="24"/>
    </w:rPr>
  </w:style>
  <w:style w:type="character" w:customStyle="1" w:styleId="43">
    <w:name w:val="标题 7 字符"/>
    <w:link w:val="8"/>
    <w:qFormat/>
    <w:uiPriority w:val="0"/>
    <w:rPr>
      <w:rFonts w:ascii="Times New Roman" w:hAnsi="Times New Roman" w:eastAsia="宋体" w:cs="Times New Roman"/>
      <w:b/>
      <w:bCs/>
      <w:sz w:val="24"/>
      <w:szCs w:val="24"/>
    </w:rPr>
  </w:style>
  <w:style w:type="character" w:customStyle="1" w:styleId="44">
    <w:name w:val="标题 8 字符"/>
    <w:link w:val="9"/>
    <w:qFormat/>
    <w:uiPriority w:val="0"/>
    <w:rPr>
      <w:rFonts w:ascii="Arial" w:hAnsi="Arial" w:eastAsia="黑体" w:cs="Times New Roman"/>
      <w:sz w:val="24"/>
      <w:szCs w:val="24"/>
    </w:rPr>
  </w:style>
  <w:style w:type="character" w:customStyle="1" w:styleId="45">
    <w:name w:val="标题 9 字符"/>
    <w:link w:val="10"/>
    <w:qFormat/>
    <w:uiPriority w:val="0"/>
    <w:rPr>
      <w:rFonts w:ascii="Arial" w:hAnsi="Arial" w:eastAsia="黑体" w:cs="Times New Roman"/>
      <w:szCs w:val="21"/>
    </w:rPr>
  </w:style>
  <w:style w:type="character" w:customStyle="1" w:styleId="46">
    <w:name w:val="页眉 字符"/>
    <w:link w:val="19"/>
    <w:qFormat/>
    <w:uiPriority w:val="99"/>
    <w:rPr>
      <w:rFonts w:ascii="Times New Roman" w:hAnsi="Times New Roman" w:eastAsia="宋体" w:cs="Times New Roman"/>
      <w:sz w:val="18"/>
      <w:szCs w:val="18"/>
    </w:rPr>
  </w:style>
  <w:style w:type="character" w:customStyle="1" w:styleId="47">
    <w:name w:val="页脚 字符"/>
    <w:link w:val="18"/>
    <w:qFormat/>
    <w:uiPriority w:val="99"/>
    <w:rPr>
      <w:rFonts w:ascii="宋体" w:hAnsi="Times New Roman" w:eastAsia="宋体" w:cs="Times New Roman"/>
      <w:sz w:val="18"/>
      <w:szCs w:val="18"/>
    </w:rPr>
  </w:style>
  <w:style w:type="character" w:customStyle="1" w:styleId="48">
    <w:name w:val="批注框文本 字符"/>
    <w:link w:val="17"/>
    <w:semiHidden/>
    <w:qFormat/>
    <w:uiPriority w:val="99"/>
    <w:rPr>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autoRedefine/>
    <w:qFormat/>
    <w:uiPriority w:val="29"/>
    <w:rPr>
      <w:i/>
      <w:iCs/>
      <w:color w:val="000000"/>
    </w:rPr>
  </w:style>
  <w:style w:type="character" w:customStyle="1" w:styleId="51">
    <w:name w:val="标题 字符"/>
    <w:link w:val="26"/>
    <w:autoRedefine/>
    <w:qFormat/>
    <w:uiPriority w:val="0"/>
    <w:rPr>
      <w:rFonts w:ascii="Arial" w:hAnsi="Arial" w:eastAsia="宋体" w:cs="Arial"/>
      <w:b/>
      <w:bCs/>
      <w:sz w:val="32"/>
      <w:szCs w:val="32"/>
    </w:rPr>
  </w:style>
  <w:style w:type="paragraph" w:customStyle="1" w:styleId="52">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rFonts w:ascii="Times New Roman" w:hAnsi="Times New Roman" w:eastAsia="宋体" w:cs="Times New Roman"/>
      <w:szCs w:val="20"/>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pPr>
  </w:style>
  <w:style w:type="paragraph" w:customStyle="1" w:styleId="94">
    <w:name w:val="标准文件_目录标题"/>
    <w:basedOn w:val="1"/>
    <w:qFormat/>
    <w:uiPriority w:val="0"/>
    <w:pPr>
      <w:spacing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ind w:left="0" w:firstLine="200"/>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hAnsi="Times New Roman" w:eastAsia="宋体" w:cs="Times New Roman"/>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Lines="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Lines="0" w:afterLines="0"/>
      <w:outlineLvl w:val="9"/>
    </w:pPr>
    <w:rPr>
      <w:rFonts w:ascii="宋体" w:eastAsia="宋体"/>
    </w:rPr>
  </w:style>
  <w:style w:type="paragraph" w:customStyle="1" w:styleId="166">
    <w:name w:val="标准文件_五级无标题"/>
    <w:basedOn w:val="106"/>
    <w:qFormat/>
    <w:uiPriority w:val="0"/>
    <w:pPr>
      <w:spacing w:beforeLines="0" w:afterLines="0"/>
      <w:outlineLvl w:val="9"/>
    </w:pPr>
    <w:rPr>
      <w:rFonts w:ascii="宋体" w:eastAsia="宋体"/>
    </w:rPr>
  </w:style>
  <w:style w:type="paragraph" w:customStyle="1" w:styleId="167">
    <w:name w:val="标准文件_三级无标题"/>
    <w:basedOn w:val="97"/>
    <w:qFormat/>
    <w:uiPriority w:val="0"/>
    <w:pPr>
      <w:spacing w:beforeLines="0" w:afterLines="0"/>
      <w:outlineLvl w:val="9"/>
    </w:pPr>
    <w:rPr>
      <w:rFonts w:ascii="宋体" w:eastAsia="宋体"/>
    </w:rPr>
  </w:style>
  <w:style w:type="paragraph" w:customStyle="1" w:styleId="168">
    <w:name w:val="标准文件_二级无标题"/>
    <w:basedOn w:val="68"/>
    <w:qFormat/>
    <w:uiPriority w:val="0"/>
    <w:pPr>
      <w:spacing w:beforeLines="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Lines="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ind w:left="783"/>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autoRedefine/>
    <w:qFormat/>
    <w:uiPriority w:val="0"/>
    <w:pPr>
      <w:numPr>
        <w:ilvl w:val="1"/>
        <w:numId w:val="21"/>
      </w:numPr>
      <w:ind w:left="1271" w:hanging="420" w:firstLineChars="0"/>
    </w:pPr>
  </w:style>
  <w:style w:type="paragraph" w:customStyle="1" w:styleId="191">
    <w:name w:val="标准文件_三级项2"/>
    <w:basedOn w:val="59"/>
    <w:qFormat/>
    <w:uiPriority w:val="0"/>
    <w:pPr>
      <w:numPr>
        <w:ilvl w:val="0"/>
        <w:numId w:val="30"/>
      </w:numPr>
      <w:spacing w:line="300" w:lineRule="exact"/>
      <w:ind w:left="1276" w:hanging="425" w:firstLineChars="0"/>
    </w:pPr>
    <w:rPr>
      <w:rFonts w:ascii="Times New Roman"/>
    </w:rPr>
  </w:style>
  <w:style w:type="paragraph" w:customStyle="1" w:styleId="192">
    <w:name w:val="标准文件_一级项2"/>
    <w:basedOn w:val="59"/>
    <w:autoRedefine/>
    <w:qFormat/>
    <w:uiPriority w:val="0"/>
    <w:pPr>
      <w:numPr>
        <w:ilvl w:val="0"/>
        <w:numId w:val="31"/>
      </w:numPr>
      <w:spacing w:line="300" w:lineRule="exact"/>
      <w:ind w:left="1271" w:hanging="420"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autoRedefine/>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autoRedefine/>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autoRedefine/>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framePr w:wrap="around"/>
      <w:spacing w:before="57"/>
    </w:pPr>
    <w:rPr>
      <w:sz w:val="21"/>
    </w:rPr>
  </w:style>
  <w:style w:type="paragraph" w:customStyle="1" w:styleId="200">
    <w:name w:val="标准文件_文件名称"/>
    <w:basedOn w:val="59"/>
    <w:next w:val="59"/>
    <w:autoRedefine/>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autoRedefine/>
    <w:qFormat/>
    <w:uiPriority w:val="0"/>
    <w:pPr>
      <w:numPr>
        <w:ilvl w:val="1"/>
        <w:numId w:val="8"/>
      </w:numPr>
      <w:spacing w:beforeLines="50" w:afterLines="50"/>
      <w:ind w:firstLineChars="0"/>
    </w:pPr>
    <w:rPr>
      <w:rFonts w:ascii="黑体" w:eastAsia="黑体"/>
    </w:rPr>
  </w:style>
  <w:style w:type="paragraph" w:customStyle="1" w:styleId="204">
    <w:name w:val="标准文件_引言二级条标题"/>
    <w:basedOn w:val="59"/>
    <w:next w:val="59"/>
    <w:autoRedefine/>
    <w:qFormat/>
    <w:uiPriority w:val="0"/>
    <w:pPr>
      <w:numPr>
        <w:ilvl w:val="2"/>
        <w:numId w:val="8"/>
      </w:numPr>
      <w:spacing w:beforeLines="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Lines="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Lines="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Lines="50" w:afterLines="50"/>
      <w:ind w:firstLineChars="0"/>
    </w:pPr>
    <w:rPr>
      <w:rFonts w:ascii="黑体" w:eastAsia="黑体"/>
    </w:rPr>
  </w:style>
  <w:style w:type="paragraph" w:customStyle="1" w:styleId="208">
    <w:name w:val="标准文件_注后"/>
    <w:basedOn w:val="59"/>
    <w:autoRedefine/>
    <w:qFormat/>
    <w:uiPriority w:val="0"/>
    <w:pPr>
      <w:ind w:left="811" w:firstLine="0" w:firstLineChars="0"/>
    </w:pPr>
    <w:rPr>
      <w:sz w:val="18"/>
    </w:rPr>
  </w:style>
  <w:style w:type="paragraph" w:customStyle="1" w:styleId="209">
    <w:name w:val="标准文件_注X后"/>
    <w:basedOn w:val="59"/>
    <w:autoRedefine/>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Lines="0" w:afterLines="0" w:line="276" w:lineRule="auto"/>
      <w:outlineLvl w:val="9"/>
    </w:pPr>
    <w:rPr>
      <w:rFonts w:ascii="宋体" w:eastAsia="宋体"/>
    </w:rPr>
  </w:style>
  <w:style w:type="paragraph" w:customStyle="1" w:styleId="215">
    <w:name w:val="标准文件_附录二级无标题"/>
    <w:basedOn w:val="82"/>
    <w:qFormat/>
    <w:uiPriority w:val="0"/>
    <w:pPr>
      <w:spacing w:beforeLines="0" w:afterLines="0" w:line="276" w:lineRule="auto"/>
      <w:outlineLvl w:val="9"/>
    </w:pPr>
    <w:rPr>
      <w:rFonts w:ascii="宋体" w:eastAsia="宋体"/>
    </w:rPr>
  </w:style>
  <w:style w:type="paragraph" w:customStyle="1" w:styleId="216">
    <w:name w:val="标准文件_附录三级无标题"/>
    <w:basedOn w:val="84"/>
    <w:autoRedefine/>
    <w:qFormat/>
    <w:uiPriority w:val="0"/>
    <w:pPr>
      <w:spacing w:beforeLines="0" w:afterLines="0" w:line="276" w:lineRule="auto"/>
      <w:outlineLvl w:val="9"/>
    </w:pPr>
    <w:rPr>
      <w:rFonts w:ascii="宋体" w:eastAsia="宋体"/>
    </w:rPr>
  </w:style>
  <w:style w:type="paragraph" w:customStyle="1" w:styleId="217">
    <w:name w:val="标准文件_附录四级无标题"/>
    <w:basedOn w:val="85"/>
    <w:autoRedefine/>
    <w:qFormat/>
    <w:uiPriority w:val="0"/>
    <w:pPr>
      <w:spacing w:beforeLines="0" w:afterLines="0" w:line="276" w:lineRule="auto"/>
      <w:outlineLvl w:val="9"/>
    </w:pPr>
    <w:rPr>
      <w:rFonts w:ascii="宋体" w:eastAsia="宋体"/>
    </w:rPr>
  </w:style>
  <w:style w:type="paragraph" w:customStyle="1" w:styleId="218">
    <w:name w:val="标准文件_附录五级无标题"/>
    <w:basedOn w:val="87"/>
    <w:autoRedefine/>
    <w:qFormat/>
    <w:uiPriority w:val="0"/>
    <w:pPr>
      <w:spacing w:beforeLines="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Lines="0" w:afterLines="0" w:line="276" w:lineRule="auto"/>
    </w:pPr>
    <w:rPr>
      <w:rFonts w:ascii="宋体" w:eastAsia="宋体"/>
    </w:rPr>
  </w:style>
  <w:style w:type="paragraph" w:customStyle="1" w:styleId="220">
    <w:name w:val="标准文件_引言二级无标题"/>
    <w:basedOn w:val="204"/>
    <w:next w:val="59"/>
    <w:qFormat/>
    <w:uiPriority w:val="0"/>
    <w:pPr>
      <w:spacing w:beforeLines="0" w:afterLines="0" w:line="276" w:lineRule="auto"/>
    </w:pPr>
    <w:rPr>
      <w:rFonts w:ascii="宋体" w:eastAsia="宋体"/>
    </w:rPr>
  </w:style>
  <w:style w:type="paragraph" w:customStyle="1" w:styleId="221">
    <w:name w:val="标准文件_引言三级无标题"/>
    <w:basedOn w:val="205"/>
    <w:next w:val="59"/>
    <w:qFormat/>
    <w:uiPriority w:val="0"/>
    <w:pPr>
      <w:spacing w:beforeLines="0" w:afterLines="0" w:line="276" w:lineRule="auto"/>
    </w:pPr>
    <w:rPr>
      <w:rFonts w:ascii="宋体" w:eastAsia="宋体"/>
    </w:rPr>
  </w:style>
  <w:style w:type="paragraph" w:customStyle="1" w:styleId="222">
    <w:name w:val="标准文件_引言四级无标题"/>
    <w:basedOn w:val="206"/>
    <w:next w:val="59"/>
    <w:qFormat/>
    <w:uiPriority w:val="0"/>
    <w:pPr>
      <w:spacing w:beforeLines="0" w:afterLines="0" w:line="276" w:lineRule="auto"/>
    </w:pPr>
    <w:rPr>
      <w:rFonts w:ascii="宋体" w:eastAsia="宋体"/>
    </w:rPr>
  </w:style>
  <w:style w:type="paragraph" w:customStyle="1" w:styleId="223">
    <w:name w:val="标准文件_引言五级无标题"/>
    <w:basedOn w:val="207"/>
    <w:next w:val="59"/>
    <w:qFormat/>
    <w:uiPriority w:val="0"/>
    <w:pPr>
      <w:spacing w:beforeLines="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autoRedefine/>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autoRedefine/>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autoRedefine/>
    <w:qFormat/>
    <w:uiPriority w:val="0"/>
    <w:rPr>
      <w:rFonts w:ascii="黑体" w:eastAsia="黑体"/>
      <w:spacing w:val="85"/>
      <w:w w:val="100"/>
      <w:position w:val="3"/>
      <w:sz w:val="28"/>
      <w:szCs w:val="28"/>
    </w:rPr>
  </w:style>
  <w:style w:type="paragraph" w:customStyle="1" w:styleId="233">
    <w:name w:val="一级条标题"/>
    <w:next w:val="1"/>
    <w:qFormat/>
    <w:uiPriority w:val="0"/>
    <w:pPr>
      <w:numPr>
        <w:ilvl w:val="1"/>
        <w:numId w:val="14"/>
      </w:numPr>
      <w:spacing w:beforeLines="50" w:afterLines="50"/>
      <w:outlineLvl w:val="2"/>
    </w:pPr>
    <w:rPr>
      <w:rFonts w:ascii="黑体" w:hAnsi="Times New Roman" w:eastAsia="黑体" w:cs="Times New Roman"/>
      <w:sz w:val="21"/>
      <w:szCs w:val="21"/>
      <w:lang w:val="en-US" w:eastAsia="zh-CN" w:bidi="ar-SA"/>
    </w:rPr>
  </w:style>
  <w:style w:type="paragraph" w:customStyle="1" w:styleId="234">
    <w:name w:val="段"/>
    <w:link w:val="23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5">
    <w:name w:val="段 Char"/>
    <w:link w:val="234"/>
    <w:qFormat/>
    <w:uiPriority w:val="0"/>
    <w:rPr>
      <w:rFonts w:ascii="宋体" w:hAnsi="Times New Roman"/>
      <w:sz w:val="21"/>
    </w:rPr>
  </w:style>
  <w:style w:type="paragraph" w:customStyle="1" w:styleId="236">
    <w:name w:val="注："/>
    <w:next w:val="234"/>
    <w:autoRedefine/>
    <w:qFormat/>
    <w:uiPriority w:val="0"/>
    <w:pPr>
      <w:widowControl w:val="0"/>
      <w:autoSpaceDE w:val="0"/>
      <w:autoSpaceDN w:val="0"/>
      <w:ind w:left="794" w:hanging="397"/>
      <w:jc w:val="both"/>
    </w:pPr>
    <w:rPr>
      <w:rFonts w:ascii="宋体" w:hAnsi="Times New Roman" w:eastAsia="宋体" w:cs="Times New Roman"/>
      <w:sz w:val="18"/>
      <w:szCs w:val="18"/>
      <w:lang w:val="en-US" w:eastAsia="zh-CN" w:bidi="ar-SA"/>
    </w:rPr>
  </w:style>
  <w:style w:type="paragraph" w:customStyle="1" w:styleId="237">
    <w:name w:val="注×："/>
    <w:autoRedefine/>
    <w:qFormat/>
    <w:uiPriority w:val="0"/>
    <w:pPr>
      <w:widowControl w:val="0"/>
      <w:numPr>
        <w:ilvl w:val="0"/>
        <w:numId w:val="20"/>
      </w:numPr>
      <w:autoSpaceDE w:val="0"/>
      <w:autoSpaceDN w:val="0"/>
      <w:jc w:val="both"/>
    </w:pPr>
    <w:rPr>
      <w:rFonts w:ascii="宋体" w:hAnsi="Times New Roman" w:eastAsia="宋体" w:cs="Times New Roman"/>
      <w:sz w:val="18"/>
      <w:szCs w:val="18"/>
      <w:lang w:val="en-US" w:eastAsia="zh-CN" w:bidi="ar-SA"/>
    </w:rPr>
  </w:style>
  <w:style w:type="paragraph" w:customStyle="1" w:styleId="238">
    <w:name w:val="正文表标题"/>
    <w:next w:val="234"/>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39">
    <w:name w:val="二级条标题"/>
    <w:basedOn w:val="233"/>
    <w:next w:val="234"/>
    <w:qFormat/>
    <w:uiPriority w:val="0"/>
    <w:pPr>
      <w:numPr>
        <w:ilvl w:val="2"/>
      </w:numPr>
      <w:spacing w:before="50" w:after="50"/>
      <w:outlineLvl w:val="3"/>
    </w:pPr>
  </w:style>
  <w:style w:type="paragraph" w:styleId="240">
    <w:name w:val="No Spacing"/>
    <w:basedOn w:val="1"/>
    <w:qFormat/>
    <w:uiPriority w:val="99"/>
    <w:pPr>
      <w:adjustRightInd/>
      <w:spacing w:line="240" w:lineRule="auto"/>
    </w:pPr>
    <w:rPr>
      <w:rFonts w:ascii="Times New Roman" w:hAnsi="Times New Roman"/>
    </w:rPr>
  </w:style>
  <w:style w:type="paragraph" w:customStyle="1" w:styleId="241">
    <w:name w:val="参考文献、索引标题"/>
    <w:basedOn w:val="1"/>
    <w:next w:val="234"/>
    <w:autoRedefine/>
    <w:qFormat/>
    <w:uiPriority w:val="0"/>
    <w:pPr>
      <w:keepNext/>
      <w:pageBreakBefore/>
      <w:widowControl/>
      <w:shd w:val="clear" w:color="FFFFFF" w:fill="FFFFFF"/>
      <w:adjustRightInd/>
      <w:spacing w:before="640" w:after="200" w:line="240" w:lineRule="auto"/>
      <w:jc w:val="center"/>
      <w:outlineLvl w:val="0"/>
    </w:pPr>
    <w:rPr>
      <w:rFonts w:ascii="黑体" w:hAnsi="Times New Roman" w:eastAsia="黑体"/>
      <w:kern w:val="0"/>
      <w:szCs w:val="20"/>
    </w:rPr>
  </w:style>
  <w:style w:type="paragraph" w:customStyle="1" w:styleId="242">
    <w:name w:val="章标题"/>
    <w:next w:val="234"/>
    <w:qFormat/>
    <w:uiPriority w:val="0"/>
    <w:pPr>
      <w:spacing w:beforeLines="100" w:afterLines="100"/>
      <w:jc w:val="both"/>
      <w:outlineLvl w:val="1"/>
    </w:pPr>
    <w:rPr>
      <w:rFonts w:ascii="黑体" w:hAnsi="Times New Roman" w:eastAsia="黑体" w:cs="Times New Roman"/>
      <w:sz w:val="21"/>
      <w:lang w:val="en-US" w:eastAsia="zh-CN" w:bidi="ar-SA"/>
    </w:rPr>
  </w:style>
  <w:style w:type="character" w:customStyle="1" w:styleId="243">
    <w:name w:val="批注文字 字符"/>
    <w:basedOn w:val="30"/>
    <w:link w:val="13"/>
    <w:autoRedefine/>
    <w:qFormat/>
    <w:uiPriority w:val="99"/>
    <w:rPr>
      <w:kern w:val="2"/>
      <w:sz w:val="21"/>
      <w:szCs w:val="21"/>
    </w:rPr>
  </w:style>
  <w:style w:type="character" w:customStyle="1" w:styleId="244">
    <w:name w:val="批注主题 字符"/>
    <w:basedOn w:val="243"/>
    <w:link w:val="27"/>
    <w:semiHidden/>
    <w:qFormat/>
    <w:uiPriority w:val="99"/>
    <w:rPr>
      <w:b/>
      <w:bCs/>
      <w:kern w:val="2"/>
      <w:sz w:val="21"/>
      <w:szCs w:val="21"/>
    </w:rPr>
  </w:style>
  <w:style w:type="character" w:customStyle="1" w:styleId="245">
    <w:name w:val="15"/>
    <w:qFormat/>
    <w:uiPriority w:val="0"/>
    <w:rPr>
      <w:rFonts w:hint="default" w:ascii="Cambria" w:hAnsi="Cambria" w:eastAsia="黑体"/>
      <w:kern w:val="2"/>
      <w:sz w:val="21"/>
      <w:szCs w:val="21"/>
    </w:rPr>
  </w:style>
  <w:style w:type="paragraph" w:customStyle="1" w:styleId="246">
    <w:name w:val="修订1"/>
    <w:hidden/>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0" Type="http://schemas.openxmlformats.org/officeDocument/2006/relationships/glossaryDocument" Target="glossary/document.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2.jpeg"/><Relationship Id="rId24" Type="http://schemas.openxmlformats.org/officeDocument/2006/relationships/image" Target="media/image1.tiff"/><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7A503CE06C541088FAD6183DA66B4BA"/>
        <w:style w:val=""/>
        <w:category>
          <w:name w:val="常规"/>
          <w:gallery w:val="placeholder"/>
        </w:category>
        <w:types>
          <w:type w:val="bbPlcHdr"/>
        </w:types>
        <w:behaviors>
          <w:behavior w:val="content"/>
        </w:behaviors>
        <w:description w:val=""/>
        <w:guid w:val="{8B56E411-7B66-4F3E-BC9E-EFE3EC730240}"/>
      </w:docPartPr>
      <w:docPartBody>
        <w:p w14:paraId="2E5EC290">
          <w:pPr>
            <w:pStyle w:val="5"/>
            <w:rPr>
              <w:rFonts w:hint="eastAsia"/>
            </w:rPr>
          </w:pPr>
          <w:r>
            <w:rPr>
              <w:rStyle w:val="4"/>
              <w:rFonts w:hint="eastAsia"/>
            </w:rPr>
            <w:t>单击或点击此处输入文字。</w:t>
          </w:r>
        </w:p>
      </w:docPartBody>
    </w:docPart>
    <w:docPart>
      <w:docPartPr>
        <w:name w:val="3267E5435CC342B69A223FBF74D5B426"/>
        <w:style w:val=""/>
        <w:category>
          <w:name w:val="常规"/>
          <w:gallery w:val="placeholder"/>
        </w:category>
        <w:types>
          <w:type w:val="bbPlcHdr"/>
        </w:types>
        <w:behaviors>
          <w:behavior w:val="content"/>
        </w:behaviors>
        <w:description w:val=""/>
        <w:guid w:val="{73E9FE5A-5146-4621-B2A1-DC93C163AB8E}"/>
      </w:docPartPr>
      <w:docPartBody>
        <w:p w14:paraId="2E8A9C92">
          <w:pPr>
            <w:pStyle w:val="6"/>
            <w:rPr>
              <w:rFonts w:hint="eastAsia"/>
            </w:rPr>
          </w:pPr>
          <w:r>
            <w:rPr>
              <w:rStyle w:val="4"/>
              <w:rFonts w:hint="eastAsia"/>
            </w:rPr>
            <w:t>选择一项。</w:t>
          </w:r>
        </w:p>
      </w:docPartBody>
    </w:docPart>
    <w:docPart>
      <w:docPartPr>
        <w:name w:val="660D5298C5954E8DBD85602634841FDC"/>
        <w:style w:val=""/>
        <w:category>
          <w:name w:val="常规"/>
          <w:gallery w:val="placeholder"/>
        </w:category>
        <w:types>
          <w:type w:val="bbPlcHdr"/>
        </w:types>
        <w:behaviors>
          <w:behavior w:val="content"/>
        </w:behaviors>
        <w:description w:val=""/>
        <w:guid w:val="{98D09133-71B2-41A1-B7C1-D04A271D2472}"/>
      </w:docPartPr>
      <w:docPartBody>
        <w:p w14:paraId="1CF16C4A">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37542"/>
    <w:rsid w:val="00016C58"/>
    <w:rsid w:val="000C2BBF"/>
    <w:rsid w:val="00161781"/>
    <w:rsid w:val="00297DE8"/>
    <w:rsid w:val="003A76DE"/>
    <w:rsid w:val="004A75FA"/>
    <w:rsid w:val="005B3A5A"/>
    <w:rsid w:val="005D1322"/>
    <w:rsid w:val="00650B22"/>
    <w:rsid w:val="00737542"/>
    <w:rsid w:val="008367B8"/>
    <w:rsid w:val="008D002C"/>
    <w:rsid w:val="00906511"/>
    <w:rsid w:val="009B4CEE"/>
    <w:rsid w:val="009F0B64"/>
    <w:rsid w:val="009F4ED5"/>
    <w:rsid w:val="00C97038"/>
    <w:rsid w:val="00F04408"/>
    <w:rsid w:val="00F800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27A503CE06C541088FAD6183DA66B4B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267E5435CC342B69A223FBF74D5B426"/>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660D5298C5954E8DBD85602634841FDC"/>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674CA8-F405-451B-8838-CF88AD626A08}">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23</Pages>
  <Words>11933</Words>
  <Characters>14591</Characters>
  <Lines>136</Lines>
  <Paragraphs>38</Paragraphs>
  <TotalTime>14</TotalTime>
  <ScaleCrop>false</ScaleCrop>
  <LinksUpToDate>false</LinksUpToDate>
  <CharactersWithSpaces>15163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2021-03-24T07:12:00Z</dcterms:created>
  <dc:creator>XHY</dc:creator>
  <dc:description>&lt;config cover="true" show_menu="true" version="1.0.0" doctype="SDKXY"&gt;_x000d_
&lt;/config&gt;</dc:description>
  <cp:lastModifiedBy>8237476611</cp:lastModifiedBy>
  <cp:lastPrinted>2020-08-30T10:00:00Z</cp:lastPrinted>
  <dcterms:modified xsi:type="dcterms:W3CDTF">2024-09-25T01:00:32Z</dcterms:modified>
  <dc:title>地方标准</dc:title>
  <cp:revision>328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057E69A76CE34EDDAA23A03EE6F1F733_13</vt:lpwstr>
  </property>
  <property fmtid="{D5CDD505-2E9C-101B-9397-08002B2CF9AE}" pid="16" name="DoublePage">
    <vt:lpwstr>true</vt:lpwstr>
  </property>
</Properties>
</file>